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12E" w:rsidRPr="00A9108E" w:rsidRDefault="00A9108E" w:rsidP="00A9108E">
      <w:pPr>
        <w:shd w:val="clear" w:color="auto" w:fill="FFFFFF"/>
        <w:spacing w:before="100" w:beforeAutospacing="1" w:after="100" w:afterAutospacing="1" w:line="240" w:lineRule="auto"/>
        <w:rPr>
          <w:rFonts w:ascii="Segoe UI" w:eastAsia="Times New Roman" w:hAnsi="Segoe UI" w:cs="Segoe UI"/>
          <w:color w:val="212529"/>
          <w:sz w:val="24"/>
          <w:szCs w:val="24"/>
          <w:lang w:eastAsia="fr-FR"/>
        </w:rPr>
      </w:pPr>
      <w:r>
        <w:rPr>
          <w:rFonts w:ascii="Segoe UI" w:eastAsia="Times New Roman" w:hAnsi="Segoe UI" w:cs="Segoe UI"/>
          <w:b/>
          <w:bCs/>
          <w:color w:val="212529"/>
          <w:kern w:val="36"/>
          <w:sz w:val="48"/>
          <w:szCs w:val="48"/>
          <w:lang w:eastAsia="fr-FR"/>
        </w:rPr>
        <w:t> </w:t>
      </w:r>
      <w:r w:rsidR="004C4C6D">
        <w:rPr>
          <w:rFonts w:ascii="Segoe UI" w:eastAsia="Times New Roman" w:hAnsi="Segoe UI" w:cs="Segoe UI"/>
          <w:b/>
          <w:bCs/>
          <w:color w:val="212529"/>
          <w:kern w:val="36"/>
          <w:sz w:val="48"/>
          <w:szCs w:val="48"/>
          <w:lang w:eastAsia="fr-FR"/>
        </w:rPr>
        <w:t xml:space="preserve"> </w:t>
      </w:r>
      <w:r w:rsidR="00DA012E" w:rsidRPr="00A9108E">
        <w:rPr>
          <w:rFonts w:ascii="Segoe UI" w:eastAsia="Times New Roman" w:hAnsi="Segoe UI" w:cs="Segoe UI"/>
          <w:b/>
          <w:bCs/>
          <w:color w:val="212529"/>
          <w:kern w:val="36"/>
          <w:sz w:val="48"/>
          <w:szCs w:val="48"/>
          <w:lang w:eastAsia="fr-FR"/>
        </w:rPr>
        <w:t>Cour suprême</w:t>
      </w:r>
      <w:r w:rsidR="004C4C6D">
        <w:rPr>
          <w:rFonts w:ascii="Segoe UI" w:eastAsia="Times New Roman" w:hAnsi="Segoe UI" w:cs="Segoe UI"/>
          <w:b/>
          <w:bCs/>
          <w:color w:val="212529"/>
          <w:kern w:val="36"/>
          <w:sz w:val="48"/>
          <w:szCs w:val="48"/>
          <w:lang w:eastAsia="fr-FR"/>
        </w:rPr>
        <w:t xml:space="preserve"> du Bénin </w:t>
      </w:r>
      <w:proofErr w:type="gramStart"/>
      <w:r w:rsidR="004C4C6D">
        <w:rPr>
          <w:rFonts w:ascii="Segoe UI" w:eastAsia="Times New Roman" w:hAnsi="Segoe UI" w:cs="Segoe UI"/>
          <w:b/>
          <w:bCs/>
          <w:color w:val="212529"/>
          <w:kern w:val="36"/>
          <w:sz w:val="48"/>
          <w:szCs w:val="48"/>
          <w:lang w:eastAsia="fr-FR"/>
        </w:rPr>
        <w:t>( Chambre</w:t>
      </w:r>
      <w:proofErr w:type="gramEnd"/>
      <w:r w:rsidR="004C4C6D">
        <w:rPr>
          <w:rFonts w:ascii="Segoe UI" w:eastAsia="Times New Roman" w:hAnsi="Segoe UI" w:cs="Segoe UI"/>
          <w:b/>
          <w:bCs/>
          <w:color w:val="212529"/>
          <w:kern w:val="36"/>
          <w:sz w:val="48"/>
          <w:szCs w:val="48"/>
          <w:lang w:eastAsia="fr-FR"/>
        </w:rPr>
        <w:t xml:space="preserve"> judiciaire)</w:t>
      </w:r>
      <w:r w:rsidR="00DA012E" w:rsidRPr="00A9108E">
        <w:rPr>
          <w:rFonts w:ascii="Segoe UI" w:eastAsia="Times New Roman" w:hAnsi="Segoe UI" w:cs="Segoe UI"/>
          <w:b/>
          <w:bCs/>
          <w:color w:val="212529"/>
          <w:kern w:val="36"/>
          <w:sz w:val="48"/>
          <w:szCs w:val="48"/>
          <w:lang w:eastAsia="fr-FR"/>
        </w:rPr>
        <w:t xml:space="preserve">, </w:t>
      </w:r>
      <w:r w:rsidR="004C4C6D">
        <w:rPr>
          <w:rFonts w:ascii="Segoe UI" w:eastAsia="Times New Roman" w:hAnsi="Segoe UI" w:cs="Segoe UI"/>
          <w:b/>
          <w:bCs/>
          <w:color w:val="212529"/>
          <w:kern w:val="36"/>
          <w:sz w:val="48"/>
          <w:szCs w:val="48"/>
          <w:lang w:eastAsia="fr-FR"/>
        </w:rPr>
        <w:t xml:space="preserve">Arrêt n° </w:t>
      </w:r>
      <w:r w:rsidR="004C4C6D" w:rsidRPr="00A9108E">
        <w:rPr>
          <w:rFonts w:ascii="Segoe UI" w:eastAsia="Times New Roman" w:hAnsi="Segoe UI" w:cs="Segoe UI"/>
          <w:b/>
          <w:bCs/>
          <w:color w:val="212529"/>
          <w:kern w:val="36"/>
          <w:sz w:val="48"/>
          <w:szCs w:val="48"/>
          <w:lang w:eastAsia="fr-FR"/>
        </w:rPr>
        <w:t xml:space="preserve">2023-78/CJ-P </w:t>
      </w:r>
      <w:r w:rsidR="004C4C6D">
        <w:rPr>
          <w:rFonts w:ascii="Segoe UI" w:eastAsia="Times New Roman" w:hAnsi="Segoe UI" w:cs="Segoe UI"/>
          <w:b/>
          <w:bCs/>
          <w:color w:val="212529"/>
          <w:kern w:val="36"/>
          <w:sz w:val="48"/>
          <w:szCs w:val="48"/>
          <w:lang w:eastAsia="fr-FR"/>
        </w:rPr>
        <w:t xml:space="preserve"> du 29 août 2024</w:t>
      </w:r>
    </w:p>
    <w:p w:rsidR="00DA012E" w:rsidRPr="00DA012E" w:rsidRDefault="00F640B4" w:rsidP="00DA012E">
      <w:pPr>
        <w:spacing w:after="0" w:line="240" w:lineRule="auto"/>
        <w:jc w:val="both"/>
        <w:rPr>
          <w:rFonts w:ascii="Segoe UI" w:eastAsia="Times New Roman" w:hAnsi="Segoe UI" w:cs="Segoe UI"/>
          <w:color w:val="212529"/>
          <w:sz w:val="24"/>
          <w:szCs w:val="24"/>
          <w:lang w:eastAsia="fr-FR"/>
        </w:rPr>
      </w:pPr>
      <w:r>
        <w:rPr>
          <w:rFonts w:ascii="Segoe UI" w:eastAsia="Times New Roman" w:hAnsi="Segoe UI" w:cs="Segoe UI"/>
          <w:color w:val="212529"/>
          <w:sz w:val="24"/>
          <w:szCs w:val="24"/>
          <w:lang w:eastAsia="fr-FR"/>
        </w:rPr>
        <w:pict>
          <v:rect id="_x0000_i1025" style="width:0;height:.75pt" o:hralign="center" o:hrstd="t" o:hr="t" fillcolor="#a0a0a0" stroked="f"/>
        </w:pict>
      </w:r>
    </w:p>
    <w:p w:rsidR="00993A88" w:rsidRPr="00DA012E" w:rsidRDefault="00DA012E" w:rsidP="00DA012E">
      <w:pPr>
        <w:spacing w:after="100" w:afterAutospacing="1" w:line="240" w:lineRule="auto"/>
        <w:jc w:val="both"/>
        <w:rPr>
          <w:rFonts w:ascii="Segoe UI" w:eastAsia="Times New Roman" w:hAnsi="Segoe UI" w:cs="Segoe UI"/>
          <w:color w:val="212529"/>
          <w:sz w:val="24"/>
          <w:szCs w:val="24"/>
          <w:lang w:eastAsia="fr-FR"/>
        </w:rPr>
      </w:pPr>
      <w:r w:rsidRPr="00DA012E">
        <w:rPr>
          <w:rFonts w:ascii="Segoe UI" w:eastAsia="Times New Roman" w:hAnsi="Segoe UI" w:cs="Segoe UI"/>
          <w:color w:val="212529"/>
          <w:sz w:val="24"/>
          <w:szCs w:val="24"/>
          <w:lang w:eastAsia="fr-FR"/>
        </w:rPr>
        <w:br/>
        <w:t xml:space="preserve">Affaire </w:t>
      </w:r>
      <w:proofErr w:type="gramStart"/>
      <w:r w:rsidRPr="00DA012E">
        <w:rPr>
          <w:rFonts w:ascii="Segoe UI" w:eastAsia="Times New Roman" w:hAnsi="Segoe UI" w:cs="Segoe UI"/>
          <w:color w:val="212529"/>
          <w:sz w:val="24"/>
          <w:szCs w:val="24"/>
          <w:lang w:eastAsia="fr-FR"/>
        </w:rPr>
        <w:t>:</w:t>
      </w:r>
      <w:proofErr w:type="gramEnd"/>
      <w:r w:rsidRPr="00DA012E">
        <w:rPr>
          <w:rFonts w:ascii="Segoe UI" w:eastAsia="Times New Roman" w:hAnsi="Segoe UI" w:cs="Segoe UI"/>
          <w:color w:val="212529"/>
          <w:sz w:val="24"/>
          <w:szCs w:val="24"/>
          <w:lang w:eastAsia="fr-FR"/>
        </w:rPr>
        <w:br/>
        <w:t>X… Y</w:t>
      </w:r>
      <w:r w:rsidR="00993A88">
        <w:rPr>
          <w:rFonts w:ascii="Segoe UI" w:eastAsia="Times New Roman" w:hAnsi="Segoe UI" w:cs="Segoe UI"/>
          <w:color w:val="212529"/>
          <w:sz w:val="24"/>
          <w:szCs w:val="24"/>
          <w:lang w:eastAsia="fr-FR"/>
        </w:rPr>
        <w:t xml:space="preserve"> </w:t>
      </w:r>
      <w:proofErr w:type="gramStart"/>
      <w:r w:rsidR="00993A88">
        <w:rPr>
          <w:rFonts w:ascii="Segoe UI" w:eastAsia="Times New Roman" w:hAnsi="Segoe UI" w:cs="Segoe UI"/>
          <w:color w:val="212529"/>
          <w:sz w:val="24"/>
          <w:szCs w:val="24"/>
          <w:lang w:eastAsia="fr-FR"/>
        </w:rPr>
        <w:t xml:space="preserve">( </w:t>
      </w:r>
      <w:r w:rsidRPr="00DA012E">
        <w:rPr>
          <w:rFonts w:ascii="Segoe UI" w:eastAsia="Times New Roman" w:hAnsi="Segoe UI" w:cs="Segoe UI"/>
          <w:color w:val="212529"/>
          <w:sz w:val="24"/>
          <w:szCs w:val="24"/>
          <w:lang w:eastAsia="fr-FR"/>
        </w:rPr>
        <w:t>Mes</w:t>
      </w:r>
      <w:proofErr w:type="gramEnd"/>
      <w:r w:rsidRPr="00DA012E">
        <w:rPr>
          <w:rFonts w:ascii="Segoe UI" w:eastAsia="Times New Roman" w:hAnsi="Segoe UI" w:cs="Segoe UI"/>
          <w:color w:val="212529"/>
          <w:sz w:val="24"/>
          <w:szCs w:val="24"/>
          <w:lang w:eastAsia="fr-FR"/>
        </w:rPr>
        <w:t xml:space="preserve"> ELIE VLAVONOU-KPONOU,</w:t>
      </w:r>
      <w:r w:rsidR="00993A88">
        <w:rPr>
          <w:rFonts w:ascii="Segoe UI" w:eastAsia="Times New Roman" w:hAnsi="Segoe UI" w:cs="Segoe UI"/>
          <w:color w:val="212529"/>
          <w:sz w:val="24"/>
          <w:szCs w:val="24"/>
          <w:lang w:eastAsia="fr-FR"/>
        </w:rPr>
        <w:t xml:space="preserve"> </w:t>
      </w:r>
      <w:r w:rsidRPr="00DA012E">
        <w:rPr>
          <w:rFonts w:ascii="Segoe UI" w:eastAsia="Times New Roman" w:hAnsi="Segoe UI" w:cs="Segoe UI"/>
          <w:color w:val="212529"/>
          <w:sz w:val="24"/>
          <w:szCs w:val="24"/>
          <w:lang w:eastAsia="fr-FR"/>
        </w:rPr>
        <w:t>CYRILLE DJIKUI, CHARLES BADOU,</w:t>
      </w:r>
      <w:r w:rsidR="00993A88">
        <w:rPr>
          <w:rFonts w:ascii="Segoe UI" w:eastAsia="Times New Roman" w:hAnsi="Segoe UI" w:cs="Segoe UI"/>
          <w:color w:val="212529"/>
          <w:sz w:val="24"/>
          <w:szCs w:val="24"/>
          <w:lang w:eastAsia="fr-FR"/>
        </w:rPr>
        <w:t xml:space="preserve"> </w:t>
      </w:r>
      <w:r w:rsidRPr="00DA012E">
        <w:rPr>
          <w:rFonts w:ascii="Segoe UI" w:eastAsia="Times New Roman" w:hAnsi="Segoe UI" w:cs="Segoe UI"/>
          <w:color w:val="212529"/>
          <w:sz w:val="24"/>
          <w:szCs w:val="24"/>
          <w:lang w:eastAsia="fr-FR"/>
        </w:rPr>
        <w:t>PROSPER AHOUNOU)</w:t>
      </w:r>
      <w:r w:rsidR="00993A88">
        <w:rPr>
          <w:rFonts w:ascii="Segoe UI" w:eastAsia="Times New Roman" w:hAnsi="Segoe UI" w:cs="Segoe UI"/>
          <w:color w:val="212529"/>
          <w:sz w:val="24"/>
          <w:szCs w:val="24"/>
          <w:lang w:eastAsia="fr-FR"/>
        </w:rPr>
        <w:t xml:space="preserve"> </w:t>
      </w:r>
      <w:r w:rsidRPr="00DA012E">
        <w:rPr>
          <w:rFonts w:ascii="Segoe UI" w:eastAsia="Times New Roman" w:hAnsi="Segoe UI" w:cs="Segoe UI"/>
          <w:color w:val="212529"/>
          <w:sz w:val="24"/>
          <w:szCs w:val="24"/>
          <w:lang w:eastAsia="fr-FR"/>
        </w:rPr>
        <w:t>C/</w:t>
      </w:r>
      <w:r w:rsidR="00993A88">
        <w:rPr>
          <w:rFonts w:ascii="Segoe UI" w:eastAsia="Times New Roman" w:hAnsi="Segoe UI" w:cs="Segoe UI"/>
          <w:color w:val="212529"/>
          <w:sz w:val="24"/>
          <w:szCs w:val="24"/>
          <w:lang w:eastAsia="fr-FR"/>
        </w:rPr>
        <w:t xml:space="preserve"> </w:t>
      </w:r>
      <w:r w:rsidRPr="00DA012E">
        <w:rPr>
          <w:rFonts w:ascii="Segoe UI" w:eastAsia="Times New Roman" w:hAnsi="Segoe UI" w:cs="Segoe UI"/>
          <w:color w:val="212529"/>
          <w:sz w:val="24"/>
          <w:szCs w:val="24"/>
          <w:lang w:eastAsia="fr-FR"/>
        </w:rPr>
        <w:t>MINISTERE PUBLIC</w:t>
      </w:r>
      <w:r w:rsidR="00993A88">
        <w:rPr>
          <w:rFonts w:ascii="Segoe UI" w:eastAsia="Times New Roman" w:hAnsi="Segoe UI" w:cs="Segoe UI"/>
          <w:color w:val="212529"/>
          <w:sz w:val="24"/>
          <w:szCs w:val="24"/>
          <w:lang w:eastAsia="fr-FR"/>
        </w:rPr>
        <w:t xml:space="preserve"> </w:t>
      </w:r>
      <w:r w:rsidRPr="00DA012E">
        <w:rPr>
          <w:rFonts w:ascii="Segoe UI" w:eastAsia="Times New Roman" w:hAnsi="Segoe UI" w:cs="Segoe UI"/>
          <w:color w:val="212529"/>
          <w:sz w:val="24"/>
          <w:szCs w:val="24"/>
          <w:lang w:eastAsia="fr-FR"/>
        </w:rPr>
        <w:t>ETAT BENINOIS REP/L’AJT</w:t>
      </w:r>
    </w:p>
    <w:p w:rsidR="00DA012E" w:rsidRPr="00DA012E" w:rsidRDefault="00DA012E" w:rsidP="00DA012E">
      <w:pPr>
        <w:spacing w:after="100" w:afterAutospacing="1" w:line="240" w:lineRule="auto"/>
        <w:jc w:val="both"/>
        <w:rPr>
          <w:rFonts w:ascii="Segoe UI" w:eastAsia="Times New Roman" w:hAnsi="Segoe UI" w:cs="Segoe UI"/>
          <w:color w:val="212529"/>
          <w:sz w:val="24"/>
          <w:szCs w:val="24"/>
          <w:lang w:eastAsia="fr-FR"/>
        </w:rPr>
      </w:pPr>
      <w:r w:rsidRPr="00DA012E">
        <w:rPr>
          <w:rFonts w:ascii="Segoe UI" w:eastAsia="Times New Roman" w:hAnsi="Segoe UI" w:cs="Segoe UI"/>
          <w:color w:val="212529"/>
          <w:sz w:val="24"/>
          <w:szCs w:val="24"/>
          <w:lang w:eastAsia="fr-FR"/>
        </w:rPr>
        <w:t>La Cour,</w:t>
      </w:r>
    </w:p>
    <w:p w:rsidR="00DA012E" w:rsidRPr="00DA012E" w:rsidRDefault="00DA012E" w:rsidP="00DA012E">
      <w:pPr>
        <w:spacing w:after="100" w:afterAutospacing="1" w:line="240" w:lineRule="auto"/>
        <w:jc w:val="both"/>
        <w:rPr>
          <w:rFonts w:ascii="Segoe UI" w:eastAsia="Times New Roman" w:hAnsi="Segoe UI" w:cs="Segoe UI"/>
          <w:color w:val="212529"/>
          <w:sz w:val="24"/>
          <w:szCs w:val="24"/>
          <w:lang w:eastAsia="fr-FR"/>
        </w:rPr>
      </w:pPr>
      <w:r w:rsidRPr="00DA012E">
        <w:rPr>
          <w:rFonts w:ascii="Segoe UI" w:eastAsia="Times New Roman" w:hAnsi="Segoe UI" w:cs="Segoe UI"/>
          <w:color w:val="212529"/>
          <w:sz w:val="24"/>
          <w:szCs w:val="24"/>
          <w:lang w:eastAsia="fr-FR"/>
        </w:rPr>
        <w:t>Vu l’acte n°002 du 13 juillet 2023 du greffe de la cour de répression des infractions économiques et du terrorisme (CRIET), par lequel maîtres Cyrille DJIKUI, Elie VLAVONOU KPONOU, Charles BADOU et Prosper AHOUNOU, conseils de X… Y, ont déclaré élever pourvoi en cassation contre les dispositions de l’arrêt n°006/2023 rendu le même jour par la section de l’instruction de la chambre des appels de cette cour ;</w:t>
      </w:r>
    </w:p>
    <w:p w:rsidR="00DA012E" w:rsidRPr="00DA012E" w:rsidRDefault="00DA012E" w:rsidP="00DA012E">
      <w:pPr>
        <w:spacing w:after="100" w:afterAutospacing="1" w:line="240" w:lineRule="auto"/>
        <w:jc w:val="both"/>
        <w:rPr>
          <w:rFonts w:ascii="Segoe UI" w:eastAsia="Times New Roman" w:hAnsi="Segoe UI" w:cs="Segoe UI"/>
          <w:color w:val="212529"/>
          <w:sz w:val="24"/>
          <w:szCs w:val="24"/>
          <w:lang w:eastAsia="fr-FR"/>
        </w:rPr>
      </w:pPr>
      <w:r w:rsidRPr="00DA012E">
        <w:rPr>
          <w:rFonts w:ascii="Segoe UI" w:eastAsia="Times New Roman" w:hAnsi="Segoe UI" w:cs="Segoe UI"/>
          <w:color w:val="212529"/>
          <w:sz w:val="24"/>
          <w:szCs w:val="24"/>
          <w:lang w:eastAsia="fr-FR"/>
        </w:rPr>
        <w:t>Vu la transmission du dossier à la Cour suprême ;</w:t>
      </w:r>
    </w:p>
    <w:p w:rsidR="00DA012E" w:rsidRPr="00DA012E" w:rsidRDefault="00DA012E" w:rsidP="00DA012E">
      <w:pPr>
        <w:spacing w:after="100" w:afterAutospacing="1" w:line="240" w:lineRule="auto"/>
        <w:jc w:val="both"/>
        <w:rPr>
          <w:rFonts w:ascii="Segoe UI" w:eastAsia="Times New Roman" w:hAnsi="Segoe UI" w:cs="Segoe UI"/>
          <w:color w:val="212529"/>
          <w:sz w:val="24"/>
          <w:szCs w:val="24"/>
          <w:lang w:eastAsia="fr-FR"/>
        </w:rPr>
      </w:pPr>
      <w:r w:rsidRPr="00DA012E">
        <w:rPr>
          <w:rFonts w:ascii="Segoe UI" w:eastAsia="Times New Roman" w:hAnsi="Segoe UI" w:cs="Segoe UI"/>
          <w:color w:val="212529"/>
          <w:sz w:val="24"/>
          <w:szCs w:val="24"/>
          <w:lang w:eastAsia="fr-FR"/>
        </w:rPr>
        <w:t>Vu l’arrêt attaqué ;</w:t>
      </w:r>
    </w:p>
    <w:p w:rsidR="00DA012E" w:rsidRPr="00DA012E" w:rsidRDefault="00DA012E" w:rsidP="00DA012E">
      <w:pPr>
        <w:spacing w:after="100" w:afterAutospacing="1" w:line="240" w:lineRule="auto"/>
        <w:jc w:val="both"/>
        <w:rPr>
          <w:rFonts w:ascii="Segoe UI" w:eastAsia="Times New Roman" w:hAnsi="Segoe UI" w:cs="Segoe UI"/>
          <w:color w:val="212529"/>
          <w:sz w:val="24"/>
          <w:szCs w:val="24"/>
          <w:lang w:eastAsia="fr-FR"/>
        </w:rPr>
      </w:pPr>
      <w:r w:rsidRPr="00DA012E">
        <w:rPr>
          <w:rFonts w:ascii="Segoe UI" w:eastAsia="Times New Roman" w:hAnsi="Segoe UI" w:cs="Segoe UI"/>
          <w:color w:val="212529"/>
          <w:sz w:val="24"/>
          <w:szCs w:val="24"/>
          <w:lang w:eastAsia="fr-FR"/>
        </w:rPr>
        <w:t>Vu la loi n° 2022-10 du 27 juin 2022 portant composition, organisation, fonctionnement et attributions de la Cour suprême ;</w:t>
      </w:r>
    </w:p>
    <w:p w:rsidR="00DA012E" w:rsidRPr="00DA012E" w:rsidRDefault="00DA012E" w:rsidP="00DA012E">
      <w:pPr>
        <w:spacing w:after="100" w:afterAutospacing="1" w:line="240" w:lineRule="auto"/>
        <w:jc w:val="both"/>
        <w:rPr>
          <w:rFonts w:ascii="Segoe UI" w:eastAsia="Times New Roman" w:hAnsi="Segoe UI" w:cs="Segoe UI"/>
          <w:color w:val="212529"/>
          <w:sz w:val="24"/>
          <w:szCs w:val="24"/>
          <w:lang w:eastAsia="fr-FR"/>
        </w:rPr>
      </w:pPr>
      <w:r w:rsidRPr="00DA012E">
        <w:rPr>
          <w:rFonts w:ascii="Segoe UI" w:eastAsia="Times New Roman" w:hAnsi="Segoe UI" w:cs="Segoe UI"/>
          <w:color w:val="212529"/>
          <w:sz w:val="24"/>
          <w:szCs w:val="24"/>
          <w:lang w:eastAsia="fr-FR"/>
        </w:rPr>
        <w:t>Vu la loi n° 2022-12 du 05 juillet 2022 portant règles particulières de procédure applicables devant les formations juridictionnelles de la Cour suprême ;</w:t>
      </w:r>
    </w:p>
    <w:p w:rsidR="00DA012E" w:rsidRPr="00DA012E" w:rsidRDefault="00DA012E" w:rsidP="00DA012E">
      <w:pPr>
        <w:spacing w:after="100" w:afterAutospacing="1" w:line="240" w:lineRule="auto"/>
        <w:jc w:val="both"/>
        <w:rPr>
          <w:rFonts w:ascii="Segoe UI" w:eastAsia="Times New Roman" w:hAnsi="Segoe UI" w:cs="Segoe UI"/>
          <w:color w:val="212529"/>
          <w:sz w:val="24"/>
          <w:szCs w:val="24"/>
          <w:lang w:eastAsia="fr-FR"/>
        </w:rPr>
      </w:pPr>
      <w:r w:rsidRPr="00DA012E">
        <w:rPr>
          <w:rFonts w:ascii="Segoe UI" w:eastAsia="Times New Roman" w:hAnsi="Segoe UI" w:cs="Segoe UI"/>
          <w:color w:val="212529"/>
          <w:sz w:val="24"/>
          <w:szCs w:val="24"/>
          <w:lang w:eastAsia="fr-FR"/>
        </w:rPr>
        <w:t>Vu les pièces du dossier ;</w:t>
      </w:r>
    </w:p>
    <w:p w:rsidR="00DA012E" w:rsidRPr="00DA012E" w:rsidRDefault="00DA012E" w:rsidP="00DA012E">
      <w:pPr>
        <w:spacing w:after="100" w:afterAutospacing="1" w:line="240" w:lineRule="auto"/>
        <w:jc w:val="both"/>
        <w:rPr>
          <w:rFonts w:ascii="Segoe UI" w:eastAsia="Times New Roman" w:hAnsi="Segoe UI" w:cs="Segoe UI"/>
          <w:color w:val="212529"/>
          <w:sz w:val="24"/>
          <w:szCs w:val="24"/>
          <w:lang w:eastAsia="fr-FR"/>
        </w:rPr>
      </w:pPr>
      <w:r w:rsidRPr="00DA012E">
        <w:rPr>
          <w:rFonts w:ascii="Segoe UI" w:eastAsia="Times New Roman" w:hAnsi="Segoe UI" w:cs="Segoe UI"/>
          <w:color w:val="212529"/>
          <w:sz w:val="24"/>
          <w:szCs w:val="24"/>
          <w:lang w:eastAsia="fr-FR"/>
        </w:rPr>
        <w:t xml:space="preserve">Ouï à l’audience publique du jeudi 29 août 2024 le conseiller </w:t>
      </w:r>
      <w:proofErr w:type="spellStart"/>
      <w:r w:rsidRPr="00DA012E">
        <w:rPr>
          <w:rFonts w:ascii="Segoe UI" w:eastAsia="Times New Roman" w:hAnsi="Segoe UI" w:cs="Segoe UI"/>
          <w:color w:val="212529"/>
          <w:sz w:val="24"/>
          <w:szCs w:val="24"/>
          <w:lang w:eastAsia="fr-FR"/>
        </w:rPr>
        <w:t>Olatoundji</w:t>
      </w:r>
      <w:proofErr w:type="spellEnd"/>
      <w:r w:rsidRPr="00DA012E">
        <w:rPr>
          <w:rFonts w:ascii="Segoe UI" w:eastAsia="Times New Roman" w:hAnsi="Segoe UI" w:cs="Segoe UI"/>
          <w:color w:val="212529"/>
          <w:sz w:val="24"/>
          <w:szCs w:val="24"/>
          <w:lang w:eastAsia="fr-FR"/>
        </w:rPr>
        <w:t xml:space="preserve"> </w:t>
      </w:r>
      <w:proofErr w:type="spellStart"/>
      <w:r w:rsidRPr="00DA012E">
        <w:rPr>
          <w:rFonts w:ascii="Segoe UI" w:eastAsia="Times New Roman" w:hAnsi="Segoe UI" w:cs="Segoe UI"/>
          <w:color w:val="212529"/>
          <w:sz w:val="24"/>
          <w:szCs w:val="24"/>
          <w:lang w:eastAsia="fr-FR"/>
        </w:rPr>
        <w:t>Badirou</w:t>
      </w:r>
      <w:proofErr w:type="spellEnd"/>
      <w:r w:rsidRPr="00DA012E">
        <w:rPr>
          <w:rFonts w:ascii="Segoe UI" w:eastAsia="Times New Roman" w:hAnsi="Segoe UI" w:cs="Segoe UI"/>
          <w:color w:val="212529"/>
          <w:sz w:val="24"/>
          <w:szCs w:val="24"/>
          <w:lang w:eastAsia="fr-FR"/>
        </w:rPr>
        <w:t xml:space="preserve"> LAWANI en son rapport ;</w:t>
      </w:r>
    </w:p>
    <w:p w:rsidR="00DA012E" w:rsidRPr="00DA012E" w:rsidRDefault="00DA012E" w:rsidP="00DA012E">
      <w:pPr>
        <w:spacing w:after="100" w:afterAutospacing="1" w:line="240" w:lineRule="auto"/>
        <w:jc w:val="both"/>
        <w:rPr>
          <w:rFonts w:ascii="Segoe UI" w:eastAsia="Times New Roman" w:hAnsi="Segoe UI" w:cs="Segoe UI"/>
          <w:color w:val="212529"/>
          <w:sz w:val="24"/>
          <w:szCs w:val="24"/>
          <w:lang w:eastAsia="fr-FR"/>
        </w:rPr>
      </w:pPr>
      <w:r w:rsidRPr="00DA012E">
        <w:rPr>
          <w:rFonts w:ascii="Segoe UI" w:eastAsia="Times New Roman" w:hAnsi="Segoe UI" w:cs="Segoe UI"/>
          <w:color w:val="212529"/>
          <w:sz w:val="24"/>
          <w:szCs w:val="24"/>
          <w:lang w:eastAsia="fr-FR"/>
        </w:rPr>
        <w:t>Ouï le premier l’avocat général Arsène DADJO en ses conclusions ;</w:t>
      </w:r>
      <w:r w:rsidRPr="00DA012E">
        <w:rPr>
          <w:rFonts w:ascii="Segoe UI" w:eastAsia="Times New Roman" w:hAnsi="Segoe UI" w:cs="Segoe UI"/>
          <w:color w:val="212529"/>
          <w:sz w:val="24"/>
          <w:szCs w:val="24"/>
          <w:lang w:eastAsia="fr-FR"/>
        </w:rPr>
        <w:br/>
        <w:t>Et après en avoir délibéré conformément à la loi ;</w:t>
      </w:r>
      <w:r w:rsidRPr="00DA012E">
        <w:rPr>
          <w:rFonts w:ascii="Segoe UI" w:eastAsia="Times New Roman" w:hAnsi="Segoe UI" w:cs="Segoe UI"/>
          <w:color w:val="212529"/>
          <w:sz w:val="24"/>
          <w:szCs w:val="24"/>
          <w:lang w:eastAsia="fr-FR"/>
        </w:rPr>
        <w:br/>
        <w:t>Attendu que suivant l’acte n°002 du 13 juillet 2023 du greffe de la cour de répression des infractions économiques et du terrorisme (CRIET), maîtres Cyrille DJIKUI, Elie VLAVONOU KPONOU, Charles BADOU et Prosper AHOUNOU, conseils de X… Y, ont déclaré élever pourvoi en cassation contre les dispositions de l’arrêt n°006/2023 rendu le même jour par la section de l’instruction de la chambre des appels de cette cour ;</w:t>
      </w:r>
    </w:p>
    <w:p w:rsidR="00DA012E" w:rsidRPr="00DA012E" w:rsidRDefault="00DA012E" w:rsidP="00DA012E">
      <w:pPr>
        <w:spacing w:after="100" w:afterAutospacing="1" w:line="240" w:lineRule="auto"/>
        <w:jc w:val="both"/>
        <w:rPr>
          <w:rFonts w:ascii="Segoe UI" w:eastAsia="Times New Roman" w:hAnsi="Segoe UI" w:cs="Segoe UI"/>
          <w:color w:val="212529"/>
          <w:sz w:val="24"/>
          <w:szCs w:val="24"/>
          <w:lang w:eastAsia="fr-FR"/>
        </w:rPr>
      </w:pPr>
      <w:r w:rsidRPr="00DA012E">
        <w:rPr>
          <w:rFonts w:ascii="Segoe UI" w:eastAsia="Times New Roman" w:hAnsi="Segoe UI" w:cs="Segoe UI"/>
          <w:color w:val="212529"/>
          <w:sz w:val="24"/>
          <w:szCs w:val="24"/>
          <w:lang w:eastAsia="fr-FR"/>
        </w:rPr>
        <w:lastRenderedPageBreak/>
        <w:t>Que par lettres numéros 2967, 2968, 2970 et 2971/GCS du 18 août 2023 du greffe de la Cour suprême, le demandeur au pourvoi et ses conseils ont été invités à produire leurs moyens de cassation dans le délai d’un (01) mois, conformément aux dispositions de l’article 102 alinéas 1 et 2 de la loi n°2022-12 du 05 juillet 2022 portant règles particulières de procédure applicables devant les formations juridictionnelles de la Cour suprême ;</w:t>
      </w:r>
    </w:p>
    <w:p w:rsidR="00DA012E" w:rsidRPr="00DA012E" w:rsidRDefault="00DA012E" w:rsidP="00DA012E">
      <w:pPr>
        <w:spacing w:after="100" w:afterAutospacing="1" w:line="240" w:lineRule="auto"/>
        <w:jc w:val="both"/>
        <w:rPr>
          <w:rFonts w:ascii="Segoe UI" w:eastAsia="Times New Roman" w:hAnsi="Segoe UI" w:cs="Segoe UI"/>
          <w:color w:val="212529"/>
          <w:sz w:val="24"/>
          <w:szCs w:val="24"/>
          <w:lang w:eastAsia="fr-FR"/>
        </w:rPr>
      </w:pPr>
      <w:r w:rsidRPr="00DA012E">
        <w:rPr>
          <w:rFonts w:ascii="Segoe UI" w:eastAsia="Times New Roman" w:hAnsi="Segoe UI" w:cs="Segoe UI"/>
          <w:color w:val="212529"/>
          <w:sz w:val="24"/>
          <w:szCs w:val="24"/>
          <w:lang w:eastAsia="fr-FR"/>
        </w:rPr>
        <w:t>Que les mémoires ampliatifs et en défense ont été produits ;</w:t>
      </w:r>
    </w:p>
    <w:p w:rsidR="00DA012E" w:rsidRPr="00DA012E" w:rsidRDefault="00DA012E" w:rsidP="00DA012E">
      <w:pPr>
        <w:spacing w:after="100" w:afterAutospacing="1" w:line="240" w:lineRule="auto"/>
        <w:jc w:val="both"/>
        <w:rPr>
          <w:rFonts w:ascii="Segoe UI" w:eastAsia="Times New Roman" w:hAnsi="Segoe UI" w:cs="Segoe UI"/>
          <w:color w:val="212529"/>
          <w:sz w:val="24"/>
          <w:szCs w:val="24"/>
          <w:lang w:eastAsia="fr-FR"/>
        </w:rPr>
      </w:pPr>
      <w:r w:rsidRPr="00DA012E">
        <w:rPr>
          <w:rFonts w:ascii="Segoe UI" w:eastAsia="Times New Roman" w:hAnsi="Segoe UI" w:cs="Segoe UI"/>
          <w:color w:val="212529"/>
          <w:sz w:val="24"/>
          <w:szCs w:val="24"/>
          <w:lang w:eastAsia="fr-FR"/>
        </w:rPr>
        <w:t>Que le procureur général a pris ses conclusions, lesquelles ont été communiquées aux parties pour leurs observations ;</w:t>
      </w:r>
    </w:p>
    <w:p w:rsidR="00DA012E" w:rsidRPr="00DA012E" w:rsidRDefault="00DA012E" w:rsidP="00DA012E">
      <w:pPr>
        <w:spacing w:after="100" w:afterAutospacing="1" w:line="240" w:lineRule="auto"/>
        <w:jc w:val="both"/>
        <w:rPr>
          <w:rFonts w:ascii="Segoe UI" w:eastAsia="Times New Roman" w:hAnsi="Segoe UI" w:cs="Segoe UI"/>
          <w:color w:val="212529"/>
          <w:sz w:val="24"/>
          <w:szCs w:val="24"/>
          <w:lang w:eastAsia="fr-FR"/>
        </w:rPr>
      </w:pPr>
      <w:r w:rsidRPr="00DA012E">
        <w:rPr>
          <w:rFonts w:ascii="Segoe UI" w:eastAsia="Times New Roman" w:hAnsi="Segoe UI" w:cs="Segoe UI"/>
          <w:color w:val="212529"/>
          <w:sz w:val="24"/>
          <w:szCs w:val="24"/>
          <w:lang w:eastAsia="fr-FR"/>
        </w:rPr>
        <w:t>Que les parties ont produit leurs observations ;</w:t>
      </w:r>
    </w:p>
    <w:p w:rsidR="00DA012E" w:rsidRPr="00DA012E" w:rsidRDefault="00DA012E" w:rsidP="00DA012E">
      <w:pPr>
        <w:spacing w:after="100" w:afterAutospacing="1" w:line="240" w:lineRule="auto"/>
        <w:jc w:val="both"/>
        <w:rPr>
          <w:rFonts w:ascii="Segoe UI" w:eastAsia="Times New Roman" w:hAnsi="Segoe UI" w:cs="Segoe UI"/>
          <w:color w:val="212529"/>
          <w:sz w:val="24"/>
          <w:szCs w:val="24"/>
          <w:lang w:eastAsia="fr-FR"/>
        </w:rPr>
      </w:pPr>
      <w:r w:rsidRPr="00DA012E">
        <w:rPr>
          <w:rFonts w:ascii="Segoe UI" w:eastAsia="Times New Roman" w:hAnsi="Segoe UI" w:cs="Segoe UI"/>
          <w:color w:val="212529"/>
          <w:sz w:val="24"/>
          <w:szCs w:val="24"/>
          <w:lang w:eastAsia="fr-FR"/>
        </w:rPr>
        <w:t>EN LA FORME</w:t>
      </w:r>
    </w:p>
    <w:p w:rsidR="00DA012E" w:rsidRPr="00DA012E" w:rsidRDefault="00DA012E" w:rsidP="00DA012E">
      <w:pPr>
        <w:spacing w:after="100" w:afterAutospacing="1" w:line="240" w:lineRule="auto"/>
        <w:jc w:val="both"/>
        <w:rPr>
          <w:rFonts w:ascii="Segoe UI" w:eastAsia="Times New Roman" w:hAnsi="Segoe UI" w:cs="Segoe UI"/>
          <w:color w:val="212529"/>
          <w:sz w:val="24"/>
          <w:szCs w:val="24"/>
          <w:lang w:eastAsia="fr-FR"/>
        </w:rPr>
      </w:pPr>
      <w:r w:rsidRPr="00DA012E">
        <w:rPr>
          <w:rFonts w:ascii="Segoe UI" w:eastAsia="Times New Roman" w:hAnsi="Segoe UI" w:cs="Segoe UI"/>
          <w:color w:val="212529"/>
          <w:sz w:val="24"/>
          <w:szCs w:val="24"/>
          <w:lang w:eastAsia="fr-FR"/>
        </w:rPr>
        <w:t xml:space="preserve">Attendu que le présent pourvoi a été introduit dans les forme et délai légaux </w:t>
      </w:r>
      <w:proofErr w:type="gramStart"/>
      <w:r w:rsidRPr="00DA012E">
        <w:rPr>
          <w:rFonts w:ascii="Segoe UI" w:eastAsia="Times New Roman" w:hAnsi="Segoe UI" w:cs="Segoe UI"/>
          <w:color w:val="212529"/>
          <w:sz w:val="24"/>
          <w:szCs w:val="24"/>
          <w:lang w:eastAsia="fr-FR"/>
        </w:rPr>
        <w:t>;</w:t>
      </w:r>
      <w:proofErr w:type="gramEnd"/>
      <w:r w:rsidRPr="00DA012E">
        <w:rPr>
          <w:rFonts w:ascii="Segoe UI" w:eastAsia="Times New Roman" w:hAnsi="Segoe UI" w:cs="Segoe UI"/>
          <w:color w:val="212529"/>
          <w:sz w:val="24"/>
          <w:szCs w:val="24"/>
          <w:lang w:eastAsia="fr-FR"/>
        </w:rPr>
        <w:br/>
        <w:t>Qu’il y a lieu de le déclarer recevable ;</w:t>
      </w:r>
    </w:p>
    <w:p w:rsidR="004C4C6D" w:rsidRDefault="00DA012E" w:rsidP="00DA012E">
      <w:pPr>
        <w:spacing w:after="100" w:afterAutospacing="1" w:line="240" w:lineRule="auto"/>
        <w:jc w:val="both"/>
        <w:rPr>
          <w:rFonts w:ascii="Segoe UI" w:eastAsia="Times New Roman" w:hAnsi="Segoe UI" w:cs="Segoe UI"/>
          <w:color w:val="212529"/>
          <w:sz w:val="24"/>
          <w:szCs w:val="24"/>
          <w:lang w:eastAsia="fr-FR"/>
        </w:rPr>
      </w:pPr>
      <w:r w:rsidRPr="00DA012E">
        <w:rPr>
          <w:rFonts w:ascii="Segoe UI" w:eastAsia="Times New Roman" w:hAnsi="Segoe UI" w:cs="Segoe UI"/>
          <w:color w:val="212529"/>
          <w:sz w:val="24"/>
          <w:szCs w:val="24"/>
          <w:lang w:eastAsia="fr-FR"/>
        </w:rPr>
        <w:t>AU FOND</w:t>
      </w:r>
    </w:p>
    <w:p w:rsidR="00DA012E" w:rsidRPr="00DA012E" w:rsidRDefault="00DA012E" w:rsidP="00DA012E">
      <w:pPr>
        <w:spacing w:after="100" w:afterAutospacing="1" w:line="240" w:lineRule="auto"/>
        <w:jc w:val="both"/>
        <w:rPr>
          <w:rFonts w:ascii="Segoe UI" w:eastAsia="Times New Roman" w:hAnsi="Segoe UI" w:cs="Segoe UI"/>
          <w:color w:val="212529"/>
          <w:sz w:val="24"/>
          <w:szCs w:val="24"/>
          <w:lang w:eastAsia="fr-FR"/>
        </w:rPr>
      </w:pPr>
      <w:r w:rsidRPr="00DA012E">
        <w:rPr>
          <w:rFonts w:ascii="Segoe UI" w:eastAsia="Times New Roman" w:hAnsi="Segoe UI" w:cs="Segoe UI"/>
          <w:color w:val="212529"/>
          <w:sz w:val="24"/>
          <w:szCs w:val="24"/>
          <w:lang w:eastAsia="fr-FR"/>
        </w:rPr>
        <w:br/>
        <w:t>FAITS ET PROCEDURE</w:t>
      </w:r>
    </w:p>
    <w:p w:rsidR="00DA012E" w:rsidRPr="00DA012E" w:rsidRDefault="00DA012E" w:rsidP="00DA012E">
      <w:pPr>
        <w:spacing w:after="100" w:afterAutospacing="1" w:line="240" w:lineRule="auto"/>
        <w:jc w:val="both"/>
        <w:rPr>
          <w:rFonts w:ascii="Segoe UI" w:eastAsia="Times New Roman" w:hAnsi="Segoe UI" w:cs="Segoe UI"/>
          <w:color w:val="212529"/>
          <w:sz w:val="24"/>
          <w:szCs w:val="24"/>
          <w:lang w:eastAsia="fr-FR"/>
        </w:rPr>
      </w:pPr>
      <w:r w:rsidRPr="00DA012E">
        <w:rPr>
          <w:rFonts w:ascii="Segoe UI" w:eastAsia="Times New Roman" w:hAnsi="Segoe UI" w:cs="Segoe UI"/>
          <w:color w:val="212529"/>
          <w:sz w:val="24"/>
          <w:szCs w:val="24"/>
          <w:lang w:eastAsia="fr-FR"/>
        </w:rPr>
        <w:t xml:space="preserve">Attendu, selon l’arrêt attaqué et les pièces du dossier, que suite au constat d’importants mouvements de fonds sur plusieurs comptes, y compris ceux de ses deux enfants mineurs, dont X… Y, avocat, est signataire et portant sur un montant de quatre cent quatre-vingt-neuf millions trois cent soixante-douze mille huit cent trente et un (489.372.831) francs, la cellule nationale de traitement des informations financières (CENTIF) a saisi le procureur spécial près la CRIET d’un rapport d’enquête du 04 mars 2021 </w:t>
      </w:r>
      <w:proofErr w:type="gramStart"/>
      <w:r w:rsidRPr="00DA012E">
        <w:rPr>
          <w:rFonts w:ascii="Segoe UI" w:eastAsia="Times New Roman" w:hAnsi="Segoe UI" w:cs="Segoe UI"/>
          <w:color w:val="212529"/>
          <w:sz w:val="24"/>
          <w:szCs w:val="24"/>
          <w:lang w:eastAsia="fr-FR"/>
        </w:rPr>
        <w:t>;</w:t>
      </w:r>
      <w:proofErr w:type="gramEnd"/>
      <w:r w:rsidRPr="00DA012E">
        <w:rPr>
          <w:rFonts w:ascii="Segoe UI" w:eastAsia="Times New Roman" w:hAnsi="Segoe UI" w:cs="Segoe UI"/>
          <w:color w:val="212529"/>
          <w:sz w:val="24"/>
          <w:szCs w:val="24"/>
          <w:lang w:eastAsia="fr-FR"/>
        </w:rPr>
        <w:br/>
        <w:t>Que suivant réquisitoire introductif du 22 mars 2021, une information a été ouverte et X… Y a été inculpé de blanchiment de capitaux et de financement du terrorisme par la commission d’instruction qui, à l’issue de son information, a rendu le 03 mars 2023, l’arrêt n°0042/CRIET/COM/2023 de non-lieu partiel et de renvoi devant la chambre de jugement de la CRIET pour y être jugé du chef de blanchiment de capitaux ;</w:t>
      </w:r>
      <w:r w:rsidRPr="00DA012E">
        <w:rPr>
          <w:rFonts w:ascii="Segoe UI" w:eastAsia="Times New Roman" w:hAnsi="Segoe UI" w:cs="Segoe UI"/>
          <w:color w:val="212529"/>
          <w:sz w:val="24"/>
          <w:szCs w:val="24"/>
          <w:lang w:eastAsia="fr-FR"/>
        </w:rPr>
        <w:br/>
        <w:t xml:space="preserve">Que sur appel de X… Y, la section de l’instruction de la chambre des appels de la CRIET a rendu le 13 juillet 2023, l’arrêt confirmatif n°006/23 </w:t>
      </w:r>
      <w:proofErr w:type="gramStart"/>
      <w:r w:rsidRPr="00DA012E">
        <w:rPr>
          <w:rFonts w:ascii="Segoe UI" w:eastAsia="Times New Roman" w:hAnsi="Segoe UI" w:cs="Segoe UI"/>
          <w:color w:val="212529"/>
          <w:sz w:val="24"/>
          <w:szCs w:val="24"/>
          <w:lang w:eastAsia="fr-FR"/>
        </w:rPr>
        <w:t>;</w:t>
      </w:r>
      <w:proofErr w:type="gramEnd"/>
      <w:r w:rsidRPr="00DA012E">
        <w:rPr>
          <w:rFonts w:ascii="Segoe UI" w:eastAsia="Times New Roman" w:hAnsi="Segoe UI" w:cs="Segoe UI"/>
          <w:color w:val="212529"/>
          <w:sz w:val="24"/>
          <w:szCs w:val="24"/>
          <w:lang w:eastAsia="fr-FR"/>
        </w:rPr>
        <w:br/>
        <w:t>Que c’est cet arrêt qui est l’objet du présent pourvoi ;</w:t>
      </w:r>
    </w:p>
    <w:p w:rsidR="00DA012E" w:rsidRPr="00DA012E" w:rsidRDefault="00DA012E" w:rsidP="00DA012E">
      <w:pPr>
        <w:spacing w:after="100" w:afterAutospacing="1" w:line="240" w:lineRule="auto"/>
        <w:jc w:val="both"/>
        <w:rPr>
          <w:rFonts w:ascii="Segoe UI" w:eastAsia="Times New Roman" w:hAnsi="Segoe UI" w:cs="Segoe UI"/>
          <w:color w:val="212529"/>
          <w:sz w:val="24"/>
          <w:szCs w:val="24"/>
          <w:lang w:eastAsia="fr-FR"/>
        </w:rPr>
      </w:pPr>
      <w:r w:rsidRPr="00DA012E">
        <w:rPr>
          <w:rFonts w:ascii="Segoe UI" w:eastAsia="Times New Roman" w:hAnsi="Segoe UI" w:cs="Segoe UI"/>
          <w:color w:val="212529"/>
          <w:sz w:val="24"/>
          <w:szCs w:val="24"/>
          <w:lang w:eastAsia="fr-FR"/>
        </w:rPr>
        <w:t>DISCUSSION</w:t>
      </w:r>
    </w:p>
    <w:p w:rsidR="00DA012E" w:rsidRPr="00DA012E" w:rsidRDefault="00DA012E" w:rsidP="00DA012E">
      <w:pPr>
        <w:spacing w:after="100" w:afterAutospacing="1" w:line="240" w:lineRule="auto"/>
        <w:jc w:val="both"/>
        <w:rPr>
          <w:rFonts w:ascii="Segoe UI" w:eastAsia="Times New Roman" w:hAnsi="Segoe UI" w:cs="Segoe UI"/>
          <w:color w:val="212529"/>
          <w:sz w:val="24"/>
          <w:szCs w:val="24"/>
          <w:lang w:eastAsia="fr-FR"/>
        </w:rPr>
      </w:pPr>
      <w:r w:rsidRPr="00DA012E">
        <w:rPr>
          <w:rFonts w:ascii="Segoe UI" w:eastAsia="Times New Roman" w:hAnsi="Segoe UI" w:cs="Segoe UI"/>
          <w:color w:val="212529"/>
          <w:sz w:val="24"/>
          <w:szCs w:val="24"/>
          <w:lang w:eastAsia="fr-FR"/>
        </w:rPr>
        <w:t>SUR LE PREMIER MOYEN TIRE DE LA VIOLATION DE LA LOI EN SES PREMIERE ET DEUXIEME BRANCHES REUNIES</w:t>
      </w:r>
    </w:p>
    <w:p w:rsidR="00DA012E" w:rsidRPr="00DA012E" w:rsidRDefault="00DA012E" w:rsidP="00DA012E">
      <w:pPr>
        <w:spacing w:after="100" w:afterAutospacing="1" w:line="240" w:lineRule="auto"/>
        <w:jc w:val="both"/>
        <w:rPr>
          <w:rFonts w:ascii="Segoe UI" w:eastAsia="Times New Roman" w:hAnsi="Segoe UI" w:cs="Segoe UI"/>
          <w:color w:val="212529"/>
          <w:sz w:val="24"/>
          <w:szCs w:val="24"/>
          <w:lang w:eastAsia="fr-FR"/>
        </w:rPr>
      </w:pPr>
      <w:r w:rsidRPr="00DA012E">
        <w:rPr>
          <w:rFonts w:ascii="Segoe UI" w:eastAsia="Times New Roman" w:hAnsi="Segoe UI" w:cs="Segoe UI"/>
          <w:color w:val="212529"/>
          <w:sz w:val="24"/>
          <w:szCs w:val="24"/>
          <w:lang w:eastAsia="fr-FR"/>
        </w:rPr>
        <w:lastRenderedPageBreak/>
        <w:t>Attendu qu’il est fait grief à l’arrêt attaqué de la violation de la loi par refus d’application des dispositions des articles 7 du code de procédure pénale et 1178 alinéa 3 du code général des impôts version 2019, en ce que pour confirmer l’arrêt querellé les juges d’appel ont :</w:t>
      </w:r>
      <w:r w:rsidRPr="00DA012E">
        <w:rPr>
          <w:rFonts w:ascii="Segoe UI" w:eastAsia="Times New Roman" w:hAnsi="Segoe UI" w:cs="Segoe UI"/>
          <w:color w:val="212529"/>
          <w:sz w:val="24"/>
          <w:szCs w:val="24"/>
          <w:lang w:eastAsia="fr-FR"/>
        </w:rPr>
        <w:br/>
        <w:t>- d’une part, retenu que la transaction dont fait état l’inculpé est plutôt relative à l’infraction de fraude fiscale et non à celles de blanchiment de capitaux et de financement du terrorisme ;</w:t>
      </w:r>
      <w:r w:rsidRPr="00DA012E">
        <w:rPr>
          <w:rFonts w:ascii="Segoe UI" w:eastAsia="Times New Roman" w:hAnsi="Segoe UI" w:cs="Segoe UI"/>
          <w:color w:val="212529"/>
          <w:sz w:val="24"/>
          <w:szCs w:val="24"/>
          <w:lang w:eastAsia="fr-FR"/>
        </w:rPr>
        <w:br/>
        <w:t>- d’autre part énoncé que X… Y n’est pas poursuivi pour l’infraction de fraude fiscale sous-jacente au blanchiment de capitaux qui lui était reproché, alors que, selon, les branches réunies du moyen , l’information ouverte contre lui a porté exclusivement sur des faits de blanchiment de capitaux et de financement du terrorisme ;</w:t>
      </w:r>
      <w:r w:rsidRPr="00DA012E">
        <w:rPr>
          <w:rFonts w:ascii="Segoe UI" w:eastAsia="Times New Roman" w:hAnsi="Segoe UI" w:cs="Segoe UI"/>
          <w:color w:val="212529"/>
          <w:sz w:val="24"/>
          <w:szCs w:val="24"/>
          <w:lang w:eastAsia="fr-FR"/>
        </w:rPr>
        <w:br/>
        <w:t>Que la transaction a pour effet d’éteindre les poursuites pénales en matière fiscale ;</w:t>
      </w:r>
    </w:p>
    <w:p w:rsidR="00DA012E" w:rsidRPr="00DA012E" w:rsidRDefault="00DA012E" w:rsidP="00DA012E">
      <w:pPr>
        <w:spacing w:after="100" w:afterAutospacing="1" w:line="240" w:lineRule="auto"/>
        <w:jc w:val="both"/>
        <w:rPr>
          <w:rFonts w:ascii="Segoe UI" w:eastAsia="Times New Roman" w:hAnsi="Segoe UI" w:cs="Segoe UI"/>
          <w:color w:val="212529"/>
          <w:sz w:val="24"/>
          <w:szCs w:val="24"/>
          <w:lang w:eastAsia="fr-FR"/>
        </w:rPr>
      </w:pPr>
      <w:r w:rsidRPr="00DA012E">
        <w:rPr>
          <w:rFonts w:ascii="Segoe UI" w:eastAsia="Times New Roman" w:hAnsi="Segoe UI" w:cs="Segoe UI"/>
          <w:color w:val="212529"/>
          <w:sz w:val="24"/>
          <w:szCs w:val="24"/>
          <w:lang w:eastAsia="fr-FR"/>
        </w:rPr>
        <w:t>Que suite à la vérification générale de la comptabilité de son cabinet, les faits de blanchiment de capitaux et de financement du terrorisme découlent de la proposition de redressement fiscal d’un montant de cinq cent dix millions deux cent trente-deux mille huit (510.232.008) francs ;</w:t>
      </w:r>
    </w:p>
    <w:p w:rsidR="00DA012E" w:rsidRPr="00993A88" w:rsidRDefault="00DA012E" w:rsidP="00DA012E">
      <w:pPr>
        <w:spacing w:after="100" w:afterAutospacing="1" w:line="240" w:lineRule="auto"/>
        <w:jc w:val="both"/>
        <w:rPr>
          <w:rFonts w:ascii="Segoe UI" w:eastAsia="Times New Roman" w:hAnsi="Segoe UI" w:cs="Segoe UI"/>
          <w:color w:val="212529"/>
          <w:sz w:val="24"/>
          <w:szCs w:val="24"/>
          <w:lang w:eastAsia="fr-FR"/>
        </w:rPr>
      </w:pPr>
      <w:r w:rsidRPr="00993A88">
        <w:rPr>
          <w:rFonts w:ascii="Segoe UI" w:eastAsia="Times New Roman" w:hAnsi="Segoe UI" w:cs="Segoe UI"/>
          <w:color w:val="212529"/>
          <w:sz w:val="24"/>
          <w:szCs w:val="24"/>
          <w:lang w:eastAsia="fr-FR"/>
        </w:rPr>
        <w:t>Que face à l’impossibilité légale de poursuivre l’infraction de fraude fiscale suite à la transaction, l’infraction de blanchiment de capitaux ne peut être retenue par les juges du fond ;</w:t>
      </w:r>
    </w:p>
    <w:p w:rsidR="00DA012E" w:rsidRPr="00993A88" w:rsidRDefault="00DA012E" w:rsidP="00DA012E">
      <w:pPr>
        <w:spacing w:after="100" w:afterAutospacing="1" w:line="240" w:lineRule="auto"/>
        <w:jc w:val="both"/>
        <w:rPr>
          <w:rFonts w:ascii="Segoe UI" w:eastAsia="Times New Roman" w:hAnsi="Segoe UI" w:cs="Segoe UI"/>
          <w:color w:val="212529"/>
          <w:sz w:val="24"/>
          <w:szCs w:val="24"/>
          <w:lang w:eastAsia="fr-FR"/>
        </w:rPr>
      </w:pPr>
      <w:r w:rsidRPr="00993A88">
        <w:rPr>
          <w:rFonts w:ascii="Segoe UI" w:eastAsia="Times New Roman" w:hAnsi="Segoe UI" w:cs="Segoe UI"/>
          <w:color w:val="212529"/>
          <w:sz w:val="24"/>
          <w:szCs w:val="24"/>
          <w:lang w:eastAsia="fr-FR"/>
        </w:rPr>
        <w:t>Que l’arrêt attaqué encourt cassation de ce chef ;</w:t>
      </w:r>
    </w:p>
    <w:p w:rsidR="00DA012E" w:rsidRPr="00993A88" w:rsidRDefault="00DA012E" w:rsidP="00DA012E">
      <w:pPr>
        <w:spacing w:after="100" w:afterAutospacing="1" w:line="240" w:lineRule="auto"/>
        <w:jc w:val="both"/>
        <w:rPr>
          <w:rFonts w:ascii="Segoe UI" w:eastAsia="Times New Roman" w:hAnsi="Segoe UI" w:cs="Segoe UI"/>
          <w:color w:val="212529"/>
          <w:sz w:val="24"/>
          <w:szCs w:val="24"/>
          <w:lang w:eastAsia="fr-FR"/>
        </w:rPr>
      </w:pPr>
      <w:r w:rsidRPr="00993A88">
        <w:rPr>
          <w:rFonts w:ascii="Segoe UI" w:eastAsia="Times New Roman" w:hAnsi="Segoe UI" w:cs="Segoe UI"/>
          <w:color w:val="212529"/>
          <w:sz w:val="24"/>
          <w:szCs w:val="24"/>
          <w:lang w:eastAsia="fr-FR"/>
        </w:rPr>
        <w:t>Attendu en effet, qu’au sens des dispositions de l’article 7 du code de procédure pénale, ayant pour effet d’éteindre l’action publique, la transaction intervenue, avant toute poursuite judiciaire, l’auteur des faits ne peut plus être poursuivi pour les mêmes faits sous une autre qualification ;</w:t>
      </w:r>
      <w:r w:rsidRPr="00993A88">
        <w:rPr>
          <w:rFonts w:ascii="Segoe UI" w:eastAsia="Times New Roman" w:hAnsi="Segoe UI" w:cs="Segoe UI"/>
          <w:color w:val="212529"/>
          <w:sz w:val="24"/>
          <w:szCs w:val="24"/>
          <w:lang w:eastAsia="fr-FR"/>
        </w:rPr>
        <w:br/>
        <w:t>Que le blanchiment de capitaux, infraction qui peut être caractérisée selon le cas, par des comportements tels que : l’auto-blanchiment, le blanchiment autonome ou bien le blanchiment par un tiers, n’est constituée que lorsque la personne soupçonnée ne peut apporter la preuve de l’origine licite des biens ou des revenus en sa possession, indépendamment de la détermination ou non d’une infraction sous-jacente ;</w:t>
      </w:r>
    </w:p>
    <w:p w:rsidR="00DA012E" w:rsidRPr="00993A88" w:rsidRDefault="00DA012E" w:rsidP="00DA012E">
      <w:pPr>
        <w:spacing w:after="100" w:afterAutospacing="1" w:line="240" w:lineRule="auto"/>
        <w:jc w:val="both"/>
        <w:rPr>
          <w:rFonts w:ascii="Segoe UI" w:eastAsia="Times New Roman" w:hAnsi="Segoe UI" w:cs="Segoe UI"/>
          <w:color w:val="212529"/>
          <w:sz w:val="24"/>
          <w:szCs w:val="24"/>
          <w:lang w:eastAsia="fr-FR"/>
        </w:rPr>
      </w:pPr>
      <w:r w:rsidRPr="00993A88">
        <w:rPr>
          <w:rFonts w:ascii="Segoe UI" w:eastAsia="Times New Roman" w:hAnsi="Segoe UI" w:cs="Segoe UI"/>
          <w:color w:val="212529"/>
          <w:sz w:val="24"/>
          <w:szCs w:val="24"/>
          <w:lang w:eastAsia="fr-FR"/>
        </w:rPr>
        <w:t>Que la caractérisation du délit de blanchiment, si elle n’implique pas nécessairement que l’auteur de l’infraction principale soit connu, ni les circonstances de la commission de celle-ci entièrement déterminées, nécessite néanmoins que soit établie l’origine frauduleuse des biens blanchis ;</w:t>
      </w:r>
    </w:p>
    <w:p w:rsidR="00DA012E" w:rsidRPr="00993A88" w:rsidRDefault="00DA012E" w:rsidP="00DA012E">
      <w:pPr>
        <w:spacing w:after="100" w:afterAutospacing="1" w:line="240" w:lineRule="auto"/>
        <w:jc w:val="both"/>
        <w:rPr>
          <w:rFonts w:ascii="Segoe UI" w:eastAsia="Times New Roman" w:hAnsi="Segoe UI" w:cs="Segoe UI"/>
          <w:color w:val="212529"/>
          <w:sz w:val="24"/>
          <w:szCs w:val="24"/>
          <w:lang w:eastAsia="fr-FR"/>
        </w:rPr>
      </w:pPr>
      <w:r w:rsidRPr="00993A88">
        <w:rPr>
          <w:rFonts w:ascii="Segoe UI" w:eastAsia="Times New Roman" w:hAnsi="Segoe UI" w:cs="Segoe UI"/>
          <w:color w:val="212529"/>
          <w:sz w:val="24"/>
          <w:szCs w:val="24"/>
          <w:lang w:eastAsia="fr-FR"/>
        </w:rPr>
        <w:t>Que par ailleurs, le redressement ainsi que la vérification de comptabilité ont pour but de détecter les contribuables qui ont omis de souscrire dans la régularité leurs déclarations et à réparer des erreurs relevées lorsque la bonne foi des contribuables assujettis n’est pas mise en cause ;</w:t>
      </w:r>
    </w:p>
    <w:p w:rsidR="00DA012E" w:rsidRPr="00993A88" w:rsidRDefault="00DA012E" w:rsidP="00DA012E">
      <w:pPr>
        <w:spacing w:after="100" w:afterAutospacing="1" w:line="240" w:lineRule="auto"/>
        <w:jc w:val="both"/>
        <w:rPr>
          <w:rFonts w:ascii="Segoe UI" w:eastAsia="Times New Roman" w:hAnsi="Segoe UI" w:cs="Segoe UI"/>
          <w:color w:val="212529"/>
          <w:sz w:val="24"/>
          <w:szCs w:val="24"/>
          <w:lang w:eastAsia="fr-FR"/>
        </w:rPr>
      </w:pPr>
      <w:r w:rsidRPr="00993A88">
        <w:rPr>
          <w:rFonts w:ascii="Segoe UI" w:eastAsia="Times New Roman" w:hAnsi="Segoe UI" w:cs="Segoe UI"/>
          <w:color w:val="212529"/>
          <w:sz w:val="24"/>
          <w:szCs w:val="24"/>
          <w:lang w:eastAsia="fr-FR"/>
        </w:rPr>
        <w:lastRenderedPageBreak/>
        <w:t>Qu’il ressort du dossier que le demandeur au pourvoi a fait l’objet d’une vérification générale de comptabilité au titre des exercices 2015, 2016, 2017, 2018 et 2019 ;</w:t>
      </w:r>
    </w:p>
    <w:p w:rsidR="00DA012E" w:rsidRPr="00993A88" w:rsidRDefault="00DA012E" w:rsidP="00DA012E">
      <w:pPr>
        <w:spacing w:after="100" w:afterAutospacing="1" w:line="240" w:lineRule="auto"/>
        <w:jc w:val="both"/>
        <w:rPr>
          <w:rFonts w:ascii="Segoe UI" w:eastAsia="Times New Roman" w:hAnsi="Segoe UI" w:cs="Segoe UI"/>
          <w:color w:val="212529"/>
          <w:sz w:val="24"/>
          <w:szCs w:val="24"/>
          <w:lang w:eastAsia="fr-FR"/>
        </w:rPr>
      </w:pPr>
      <w:r w:rsidRPr="00993A88">
        <w:rPr>
          <w:rFonts w:ascii="Segoe UI" w:eastAsia="Times New Roman" w:hAnsi="Segoe UI" w:cs="Segoe UI"/>
          <w:color w:val="212529"/>
          <w:sz w:val="24"/>
          <w:szCs w:val="24"/>
          <w:lang w:eastAsia="fr-FR"/>
        </w:rPr>
        <w:t>Que cette vérification a conduit à une analyse minutieuse et exhaustive des déclarations souscrites au moyen des documents nécessaires au contrôle comme livres comptables, factures, relevés de comptes bancaires, contrats d’assistance juridique et judiciaire etc… ;</w:t>
      </w:r>
    </w:p>
    <w:p w:rsidR="00DA012E" w:rsidRPr="00993A88" w:rsidRDefault="00DA012E" w:rsidP="00DA012E">
      <w:pPr>
        <w:spacing w:after="100" w:afterAutospacing="1" w:line="240" w:lineRule="auto"/>
        <w:jc w:val="both"/>
        <w:rPr>
          <w:rFonts w:ascii="Segoe UI" w:eastAsia="Times New Roman" w:hAnsi="Segoe UI" w:cs="Segoe UI"/>
          <w:color w:val="212529"/>
          <w:sz w:val="24"/>
          <w:szCs w:val="24"/>
          <w:lang w:eastAsia="fr-FR"/>
        </w:rPr>
      </w:pPr>
      <w:r w:rsidRPr="00993A88">
        <w:rPr>
          <w:rFonts w:ascii="Segoe UI" w:eastAsia="Times New Roman" w:hAnsi="Segoe UI" w:cs="Segoe UI"/>
          <w:color w:val="212529"/>
          <w:sz w:val="24"/>
          <w:szCs w:val="24"/>
          <w:lang w:eastAsia="fr-FR"/>
        </w:rPr>
        <w:t>Qu’à l’issue de ses contrôles, l’administration fiscale, tenant compte de la bonne foi de l’assujetti, lui a accordé des transactions représentant 50% des pénalités (TVA) et (IRPP) suivant la décision n°0013/MEF/CAB/SGM/DGI/ DLC/SC du 26 février 2021 portant décharge des impositions pour les exercices 2015-2017 et 2018, de montant cinq millions trois cent soixante-onze mille cinq cent soixante-trois (5.371.563) francs et la décision n°0153/MEF/DC/SGM/DGI/ DLC/SC du 07 février 2022 portant décharge des impositions au titre des exercices 2018 et 2019, de montant sept millions quatre cent soixante-seize mille sept cent soixante-neuf ( 7.476.769) francs ;</w:t>
      </w:r>
    </w:p>
    <w:p w:rsidR="00DA012E" w:rsidRPr="00993A88" w:rsidRDefault="00DA012E" w:rsidP="00DA012E">
      <w:pPr>
        <w:spacing w:after="100" w:afterAutospacing="1" w:line="240" w:lineRule="auto"/>
        <w:jc w:val="both"/>
        <w:rPr>
          <w:rFonts w:ascii="Segoe UI" w:eastAsia="Times New Roman" w:hAnsi="Segoe UI" w:cs="Segoe UI"/>
          <w:color w:val="212529"/>
          <w:sz w:val="24"/>
          <w:szCs w:val="24"/>
          <w:lang w:eastAsia="fr-FR"/>
        </w:rPr>
      </w:pPr>
      <w:r w:rsidRPr="00993A88">
        <w:rPr>
          <w:rFonts w:ascii="Segoe UI" w:eastAsia="Times New Roman" w:hAnsi="Segoe UI" w:cs="Segoe UI"/>
          <w:color w:val="212529"/>
          <w:sz w:val="24"/>
          <w:szCs w:val="24"/>
          <w:lang w:eastAsia="fr-FR"/>
        </w:rPr>
        <w:t>Qu’il s’est acquitté de ces pénalités ;</w:t>
      </w:r>
    </w:p>
    <w:p w:rsidR="00DA012E" w:rsidRPr="00993A88" w:rsidRDefault="00DA012E" w:rsidP="00DA012E">
      <w:pPr>
        <w:spacing w:after="100" w:afterAutospacing="1" w:line="240" w:lineRule="auto"/>
        <w:jc w:val="both"/>
        <w:rPr>
          <w:rFonts w:ascii="Segoe UI" w:eastAsia="Times New Roman" w:hAnsi="Segoe UI" w:cs="Segoe UI"/>
          <w:color w:val="212529"/>
          <w:sz w:val="24"/>
          <w:szCs w:val="24"/>
          <w:lang w:eastAsia="fr-FR"/>
        </w:rPr>
      </w:pPr>
      <w:r w:rsidRPr="00993A88">
        <w:rPr>
          <w:rFonts w:ascii="Segoe UI" w:eastAsia="Times New Roman" w:hAnsi="Segoe UI" w:cs="Segoe UI"/>
          <w:color w:val="212529"/>
          <w:sz w:val="24"/>
          <w:szCs w:val="24"/>
          <w:lang w:eastAsia="fr-FR"/>
        </w:rPr>
        <w:t>Que pour retenir le blanchiment, l’arrêt attaqué a relevé de nouvelles atteintes que le demandeur au pourvoi aurait portées au code général des impôts en énonçant « … qu’il ressort du relevé de compte n°[...] du mineur W…Z que les fonds versés sur ledit compte durant la période du 20 février 2019 au 31 décembre 2019 en violation des recommandations de l’administration fiscale ont été utilisés par l’inculpé par le débit de ce compte ;</w:t>
      </w:r>
      <w:r w:rsidRPr="00993A88">
        <w:rPr>
          <w:rFonts w:ascii="Segoe UI" w:eastAsia="Times New Roman" w:hAnsi="Segoe UI" w:cs="Segoe UI"/>
          <w:color w:val="212529"/>
          <w:sz w:val="24"/>
          <w:szCs w:val="24"/>
          <w:lang w:eastAsia="fr-FR"/>
        </w:rPr>
        <w:br/>
        <w:t>Qu’en procédant ainsi, il a dissimulé et utilisé des biens dont il savait provenir de la fraude fiscale ;</w:t>
      </w:r>
      <w:r w:rsidRPr="00993A88">
        <w:rPr>
          <w:rFonts w:ascii="Segoe UI" w:eastAsia="Times New Roman" w:hAnsi="Segoe UI" w:cs="Segoe UI"/>
          <w:color w:val="212529"/>
          <w:sz w:val="24"/>
          <w:szCs w:val="24"/>
          <w:lang w:eastAsia="fr-FR"/>
        </w:rPr>
        <w:br/>
        <w:t>Qu’en application des dispositions de l’article 7-b et c de la loi relative au blanchiment de capitaux et de financement du terrorisme suscitée, les éléments constitutifs du blanchiment de capitaux sont caractérisés en l’espèce »… ;</w:t>
      </w:r>
    </w:p>
    <w:p w:rsidR="00DA012E" w:rsidRPr="00993A88" w:rsidRDefault="00DA012E" w:rsidP="00DA012E">
      <w:pPr>
        <w:spacing w:after="100" w:afterAutospacing="1" w:line="240" w:lineRule="auto"/>
        <w:jc w:val="both"/>
        <w:rPr>
          <w:rFonts w:ascii="Segoe UI" w:eastAsia="Times New Roman" w:hAnsi="Segoe UI" w:cs="Segoe UI"/>
          <w:color w:val="212529"/>
          <w:sz w:val="24"/>
          <w:szCs w:val="24"/>
          <w:lang w:eastAsia="fr-FR"/>
        </w:rPr>
      </w:pPr>
      <w:r w:rsidRPr="00993A88">
        <w:rPr>
          <w:rFonts w:ascii="Segoe UI" w:eastAsia="Times New Roman" w:hAnsi="Segoe UI" w:cs="Segoe UI"/>
          <w:color w:val="212529"/>
          <w:sz w:val="24"/>
          <w:szCs w:val="24"/>
          <w:lang w:eastAsia="fr-FR"/>
        </w:rPr>
        <w:t>Qu’en y déduisant une fraude fiscale à laquelle l’administration fiscale n’a pas conclu lors du contrôle sur pièces de l’exercice 2019 (document n°2104/MEF/DC/SGM/DGI/DDI-AL/CIME-LIT-2/SG-2 du 13 octobre 2021 portant en objet “confirmation de redressements suite à contrôle sur pièces exercices 2018 et 2019“), pour retenir à la charge du demandeur au pourvoi le blanchiment de capitaux, sans établir ou caractériser l’origine frauduleuse ou illicite des fonds suspectés comme avoir été blanchis durant la période déterminée tandis que celui-ci (le demandeur au pourvoi) a :</w:t>
      </w:r>
      <w:r w:rsidRPr="00993A88">
        <w:rPr>
          <w:rFonts w:ascii="Segoe UI" w:eastAsia="Times New Roman" w:hAnsi="Segoe UI" w:cs="Segoe UI"/>
          <w:color w:val="212529"/>
          <w:sz w:val="24"/>
          <w:szCs w:val="24"/>
          <w:lang w:eastAsia="fr-FR"/>
        </w:rPr>
        <w:br/>
        <w:t>- indiqué avec précision, l’objet des diverses opérations tel qu’il résulte des relevés bancaires ;</w:t>
      </w:r>
    </w:p>
    <w:p w:rsidR="00DA012E" w:rsidRPr="00993A88" w:rsidRDefault="00DA012E" w:rsidP="00DA012E">
      <w:pPr>
        <w:spacing w:after="100" w:afterAutospacing="1" w:line="240" w:lineRule="auto"/>
        <w:jc w:val="both"/>
        <w:rPr>
          <w:rFonts w:ascii="Segoe UI" w:eastAsia="Times New Roman" w:hAnsi="Segoe UI" w:cs="Segoe UI"/>
          <w:color w:val="212529"/>
          <w:sz w:val="24"/>
          <w:szCs w:val="24"/>
          <w:lang w:eastAsia="fr-FR"/>
        </w:rPr>
      </w:pPr>
      <w:r w:rsidRPr="00993A88">
        <w:rPr>
          <w:rFonts w:ascii="Segoe UI" w:eastAsia="Times New Roman" w:hAnsi="Segoe UI" w:cs="Segoe UI"/>
          <w:color w:val="212529"/>
          <w:sz w:val="24"/>
          <w:szCs w:val="24"/>
          <w:lang w:eastAsia="fr-FR"/>
        </w:rPr>
        <w:t>- produit les attestations de régularité fiscale en dates des 16 janvier et 17 mai 2023 délivrées par l’administration fiscale ;</w:t>
      </w:r>
    </w:p>
    <w:p w:rsidR="00DA012E" w:rsidRPr="00993A88" w:rsidRDefault="00DA012E" w:rsidP="00DA012E">
      <w:pPr>
        <w:spacing w:after="100" w:afterAutospacing="1" w:line="240" w:lineRule="auto"/>
        <w:jc w:val="both"/>
        <w:rPr>
          <w:rFonts w:ascii="Segoe UI" w:eastAsia="Times New Roman" w:hAnsi="Segoe UI" w:cs="Segoe UI"/>
          <w:color w:val="212529"/>
          <w:sz w:val="24"/>
          <w:szCs w:val="24"/>
          <w:lang w:eastAsia="fr-FR"/>
        </w:rPr>
      </w:pPr>
      <w:r w:rsidRPr="00993A88">
        <w:rPr>
          <w:rFonts w:ascii="Segoe UI" w:eastAsia="Times New Roman" w:hAnsi="Segoe UI" w:cs="Segoe UI"/>
          <w:color w:val="212529"/>
          <w:sz w:val="24"/>
          <w:szCs w:val="24"/>
          <w:lang w:eastAsia="fr-FR"/>
        </w:rPr>
        <w:lastRenderedPageBreak/>
        <w:t>- produit des pièces non démenties par l’instruction qui justifient l’origine licite et régulière des revenus ou flux financiers suspectés, relatifs aux comptes dont il est signataire, l’arrêt attaqué est reprochable des griefs allégués ;</w:t>
      </w:r>
    </w:p>
    <w:p w:rsidR="00DA012E" w:rsidRPr="00993A88" w:rsidRDefault="00DA012E" w:rsidP="00DA012E">
      <w:pPr>
        <w:spacing w:after="100" w:afterAutospacing="1" w:line="240" w:lineRule="auto"/>
        <w:jc w:val="both"/>
        <w:rPr>
          <w:rFonts w:ascii="Segoe UI" w:eastAsia="Times New Roman" w:hAnsi="Segoe UI" w:cs="Segoe UI"/>
          <w:color w:val="212529"/>
          <w:sz w:val="24"/>
          <w:szCs w:val="24"/>
          <w:lang w:eastAsia="fr-FR"/>
        </w:rPr>
      </w:pPr>
      <w:r w:rsidRPr="00993A88">
        <w:rPr>
          <w:rFonts w:ascii="Segoe UI" w:eastAsia="Times New Roman" w:hAnsi="Segoe UI" w:cs="Segoe UI"/>
          <w:color w:val="212529"/>
          <w:sz w:val="24"/>
          <w:szCs w:val="24"/>
          <w:lang w:eastAsia="fr-FR"/>
        </w:rPr>
        <w:t>Que le moyen est fondé ;</w:t>
      </w:r>
    </w:p>
    <w:p w:rsidR="00DA012E" w:rsidRPr="00993A88" w:rsidRDefault="00DA012E" w:rsidP="00DA012E">
      <w:pPr>
        <w:spacing w:after="100" w:afterAutospacing="1" w:line="240" w:lineRule="auto"/>
        <w:jc w:val="both"/>
        <w:rPr>
          <w:rFonts w:ascii="Segoe UI" w:eastAsia="Times New Roman" w:hAnsi="Segoe UI" w:cs="Segoe UI"/>
          <w:color w:val="212529"/>
          <w:sz w:val="24"/>
          <w:szCs w:val="24"/>
          <w:lang w:eastAsia="fr-FR"/>
        </w:rPr>
      </w:pPr>
      <w:r w:rsidRPr="00993A88">
        <w:rPr>
          <w:rFonts w:ascii="Segoe UI" w:eastAsia="Times New Roman" w:hAnsi="Segoe UI" w:cs="Segoe UI"/>
          <w:color w:val="212529"/>
          <w:sz w:val="24"/>
          <w:szCs w:val="24"/>
          <w:lang w:eastAsia="fr-FR"/>
        </w:rPr>
        <w:t>Qu’il y a lieu de casser l’arrêt attaqué, sans qu’il soit besoin</w:t>
      </w:r>
      <w:bookmarkStart w:id="0" w:name="_GoBack"/>
      <w:bookmarkEnd w:id="0"/>
      <w:r w:rsidRPr="00993A88">
        <w:rPr>
          <w:rFonts w:ascii="Segoe UI" w:eastAsia="Times New Roman" w:hAnsi="Segoe UI" w:cs="Segoe UI"/>
          <w:color w:val="212529"/>
          <w:sz w:val="24"/>
          <w:szCs w:val="24"/>
          <w:lang w:eastAsia="fr-FR"/>
        </w:rPr>
        <w:t xml:space="preserve"> de statuer sur les autres moyens ;</w:t>
      </w:r>
    </w:p>
    <w:p w:rsidR="00DA012E" w:rsidRPr="00993A88" w:rsidRDefault="00DA012E" w:rsidP="00DA012E">
      <w:pPr>
        <w:spacing w:after="100" w:afterAutospacing="1" w:line="240" w:lineRule="auto"/>
        <w:jc w:val="both"/>
        <w:rPr>
          <w:rFonts w:ascii="Segoe UI" w:eastAsia="Times New Roman" w:hAnsi="Segoe UI" w:cs="Segoe UI"/>
          <w:color w:val="212529"/>
          <w:sz w:val="24"/>
          <w:szCs w:val="24"/>
          <w:lang w:eastAsia="fr-FR"/>
        </w:rPr>
      </w:pPr>
      <w:r w:rsidRPr="00993A88">
        <w:rPr>
          <w:rFonts w:ascii="Segoe UI" w:eastAsia="Times New Roman" w:hAnsi="Segoe UI" w:cs="Segoe UI"/>
          <w:color w:val="212529"/>
          <w:sz w:val="24"/>
          <w:szCs w:val="24"/>
          <w:lang w:eastAsia="fr-FR"/>
        </w:rPr>
        <w:t>Attendu que la cassation n’implique pas qu’il soit à nouveau statué sur le fond ;</w:t>
      </w:r>
    </w:p>
    <w:p w:rsidR="00DA012E" w:rsidRPr="00993A88" w:rsidRDefault="00DA012E" w:rsidP="00DA012E">
      <w:pPr>
        <w:spacing w:after="100" w:afterAutospacing="1" w:line="240" w:lineRule="auto"/>
        <w:jc w:val="both"/>
        <w:rPr>
          <w:rFonts w:ascii="Segoe UI" w:eastAsia="Times New Roman" w:hAnsi="Segoe UI" w:cs="Segoe UI"/>
          <w:color w:val="212529"/>
          <w:sz w:val="24"/>
          <w:szCs w:val="24"/>
          <w:lang w:eastAsia="fr-FR"/>
        </w:rPr>
      </w:pPr>
      <w:r w:rsidRPr="00993A88">
        <w:rPr>
          <w:rFonts w:ascii="Segoe UI" w:eastAsia="Times New Roman" w:hAnsi="Segoe UI" w:cs="Segoe UI"/>
          <w:color w:val="212529"/>
          <w:sz w:val="24"/>
          <w:szCs w:val="24"/>
          <w:lang w:eastAsia="fr-FR"/>
        </w:rPr>
        <w:t>PAR CES MOTIFS :</w:t>
      </w:r>
    </w:p>
    <w:p w:rsidR="00DA012E" w:rsidRPr="00993A88" w:rsidRDefault="00DA012E" w:rsidP="00DA012E">
      <w:pPr>
        <w:spacing w:after="100" w:afterAutospacing="1" w:line="240" w:lineRule="auto"/>
        <w:jc w:val="both"/>
        <w:rPr>
          <w:rFonts w:ascii="Segoe UI" w:eastAsia="Times New Roman" w:hAnsi="Segoe UI" w:cs="Segoe UI"/>
          <w:color w:val="212529"/>
          <w:sz w:val="24"/>
          <w:szCs w:val="24"/>
          <w:lang w:eastAsia="fr-FR"/>
        </w:rPr>
      </w:pPr>
      <w:r w:rsidRPr="00993A88">
        <w:rPr>
          <w:rFonts w:ascii="Segoe UI" w:eastAsia="Times New Roman" w:hAnsi="Segoe UI" w:cs="Segoe UI"/>
          <w:color w:val="212529"/>
          <w:sz w:val="24"/>
          <w:szCs w:val="24"/>
          <w:lang w:eastAsia="fr-FR"/>
        </w:rPr>
        <w:t>Reçoit en la forme le présent pourvoi ;</w:t>
      </w:r>
    </w:p>
    <w:p w:rsidR="00DA012E" w:rsidRPr="00993A88" w:rsidRDefault="00DA012E" w:rsidP="00DA012E">
      <w:pPr>
        <w:spacing w:after="100" w:afterAutospacing="1" w:line="240" w:lineRule="auto"/>
        <w:jc w:val="both"/>
        <w:rPr>
          <w:rFonts w:ascii="Segoe UI" w:eastAsia="Times New Roman" w:hAnsi="Segoe UI" w:cs="Segoe UI"/>
          <w:color w:val="212529"/>
          <w:sz w:val="24"/>
          <w:szCs w:val="24"/>
          <w:lang w:eastAsia="fr-FR"/>
        </w:rPr>
      </w:pPr>
      <w:r w:rsidRPr="00993A88">
        <w:rPr>
          <w:rFonts w:ascii="Segoe UI" w:eastAsia="Times New Roman" w:hAnsi="Segoe UI" w:cs="Segoe UI"/>
          <w:color w:val="212529"/>
          <w:sz w:val="24"/>
          <w:szCs w:val="24"/>
          <w:lang w:eastAsia="fr-FR"/>
        </w:rPr>
        <w:t>Au fond, Casse et annule en toutes ses dispositions l’arrêt n°006/2023 rendu le 13 juillet 2023 par la chambre des appels de la cour de répression des infractions économiques et du terrorisme (CRIET) ;</w:t>
      </w:r>
    </w:p>
    <w:p w:rsidR="00DA012E" w:rsidRPr="00993A88" w:rsidRDefault="00DA012E" w:rsidP="00DA012E">
      <w:pPr>
        <w:spacing w:after="100" w:afterAutospacing="1" w:line="240" w:lineRule="auto"/>
        <w:jc w:val="both"/>
        <w:rPr>
          <w:rFonts w:ascii="Segoe UI" w:eastAsia="Times New Roman" w:hAnsi="Segoe UI" w:cs="Segoe UI"/>
          <w:color w:val="212529"/>
          <w:sz w:val="24"/>
          <w:szCs w:val="24"/>
          <w:lang w:eastAsia="fr-FR"/>
        </w:rPr>
      </w:pPr>
      <w:r w:rsidRPr="00993A88">
        <w:rPr>
          <w:rFonts w:ascii="Segoe UI" w:eastAsia="Times New Roman" w:hAnsi="Segoe UI" w:cs="Segoe UI"/>
          <w:color w:val="212529"/>
          <w:sz w:val="24"/>
          <w:szCs w:val="24"/>
          <w:lang w:eastAsia="fr-FR"/>
        </w:rPr>
        <w:t xml:space="preserve">Dit n’y avoir lieu à renvoi </w:t>
      </w:r>
      <w:proofErr w:type="gramStart"/>
      <w:r w:rsidRPr="00993A88">
        <w:rPr>
          <w:rFonts w:ascii="Segoe UI" w:eastAsia="Times New Roman" w:hAnsi="Segoe UI" w:cs="Segoe UI"/>
          <w:color w:val="212529"/>
          <w:sz w:val="24"/>
          <w:szCs w:val="24"/>
          <w:lang w:eastAsia="fr-FR"/>
        </w:rPr>
        <w:t>;</w:t>
      </w:r>
      <w:proofErr w:type="gramEnd"/>
      <w:r w:rsidRPr="00993A88">
        <w:rPr>
          <w:rFonts w:ascii="Segoe UI" w:eastAsia="Times New Roman" w:hAnsi="Segoe UI" w:cs="Segoe UI"/>
          <w:color w:val="212529"/>
          <w:sz w:val="24"/>
          <w:szCs w:val="24"/>
          <w:lang w:eastAsia="fr-FR"/>
        </w:rPr>
        <w:br/>
        <w:t>Met les frais à la charge du Trésor public.</w:t>
      </w:r>
    </w:p>
    <w:p w:rsidR="00DA012E" w:rsidRPr="00993A88" w:rsidRDefault="00DA012E" w:rsidP="00DA012E">
      <w:pPr>
        <w:spacing w:after="100" w:afterAutospacing="1" w:line="240" w:lineRule="auto"/>
        <w:jc w:val="both"/>
        <w:rPr>
          <w:rFonts w:ascii="Segoe UI" w:eastAsia="Times New Roman" w:hAnsi="Segoe UI" w:cs="Segoe UI"/>
          <w:color w:val="212529"/>
          <w:sz w:val="24"/>
          <w:szCs w:val="24"/>
          <w:lang w:eastAsia="fr-FR"/>
        </w:rPr>
      </w:pPr>
      <w:r w:rsidRPr="00993A88">
        <w:rPr>
          <w:rFonts w:ascii="Segoe UI" w:eastAsia="Times New Roman" w:hAnsi="Segoe UI" w:cs="Segoe UI"/>
          <w:color w:val="212529"/>
          <w:sz w:val="24"/>
          <w:szCs w:val="24"/>
          <w:lang w:eastAsia="fr-FR"/>
        </w:rPr>
        <w:t>Ordonne la notification du présent arrêt au procureur général près la Cour suprême, au procureur spécial près la cour de répression des infractions économiques et du terrorisme (CRIET) ainsi qu’aux parties ;</w:t>
      </w:r>
    </w:p>
    <w:p w:rsidR="00DA012E" w:rsidRPr="00993A88" w:rsidRDefault="00DA012E" w:rsidP="00DA012E">
      <w:pPr>
        <w:spacing w:after="100" w:afterAutospacing="1" w:line="240" w:lineRule="auto"/>
        <w:jc w:val="both"/>
        <w:rPr>
          <w:rFonts w:ascii="Segoe UI" w:eastAsia="Times New Roman" w:hAnsi="Segoe UI" w:cs="Segoe UI"/>
          <w:color w:val="212529"/>
          <w:sz w:val="24"/>
          <w:szCs w:val="24"/>
          <w:lang w:eastAsia="fr-FR"/>
        </w:rPr>
      </w:pPr>
      <w:r w:rsidRPr="00993A88">
        <w:rPr>
          <w:rFonts w:ascii="Segoe UI" w:eastAsia="Times New Roman" w:hAnsi="Segoe UI" w:cs="Segoe UI"/>
          <w:color w:val="212529"/>
          <w:sz w:val="24"/>
          <w:szCs w:val="24"/>
          <w:lang w:eastAsia="fr-FR"/>
        </w:rPr>
        <w:t>Ordonne la transmission en retour du dossier au procureur spécial près la cour de répression des infractions économiques et du terrorisme (CRIET) ainsi ;</w:t>
      </w:r>
    </w:p>
    <w:p w:rsidR="00DA4275" w:rsidRDefault="00DA4275"/>
    <w:sectPr w:rsidR="00DA427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0B4" w:rsidRDefault="00F640B4" w:rsidP="00993A88">
      <w:pPr>
        <w:spacing w:after="0" w:line="240" w:lineRule="auto"/>
      </w:pPr>
      <w:r>
        <w:separator/>
      </w:r>
    </w:p>
  </w:endnote>
  <w:endnote w:type="continuationSeparator" w:id="0">
    <w:p w:rsidR="00F640B4" w:rsidRDefault="00F640B4" w:rsidP="00993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0071018"/>
      <w:docPartObj>
        <w:docPartGallery w:val="Page Numbers (Bottom of Page)"/>
        <w:docPartUnique/>
      </w:docPartObj>
    </w:sdtPr>
    <w:sdtContent>
      <w:p w:rsidR="00993A88" w:rsidRDefault="00993A88">
        <w:pPr>
          <w:pStyle w:val="Pieddepage"/>
          <w:jc w:val="center"/>
        </w:pPr>
        <w:r>
          <w:fldChar w:fldCharType="begin"/>
        </w:r>
        <w:r>
          <w:instrText>PAGE   \* MERGEFORMAT</w:instrText>
        </w:r>
        <w:r>
          <w:fldChar w:fldCharType="separate"/>
        </w:r>
        <w:r>
          <w:rPr>
            <w:noProof/>
          </w:rPr>
          <w:t>5</w:t>
        </w:r>
        <w:r>
          <w:fldChar w:fldCharType="end"/>
        </w:r>
      </w:p>
    </w:sdtContent>
  </w:sdt>
  <w:p w:rsidR="00993A88" w:rsidRDefault="00993A8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0B4" w:rsidRDefault="00F640B4" w:rsidP="00993A88">
      <w:pPr>
        <w:spacing w:after="0" w:line="240" w:lineRule="auto"/>
      </w:pPr>
      <w:r>
        <w:separator/>
      </w:r>
    </w:p>
  </w:footnote>
  <w:footnote w:type="continuationSeparator" w:id="0">
    <w:p w:rsidR="00F640B4" w:rsidRDefault="00F640B4" w:rsidP="00993A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D4E9A"/>
    <w:multiLevelType w:val="multilevel"/>
    <w:tmpl w:val="4A261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12E"/>
    <w:rsid w:val="00255ABB"/>
    <w:rsid w:val="00281D5F"/>
    <w:rsid w:val="004C4C6D"/>
    <w:rsid w:val="00993A88"/>
    <w:rsid w:val="00A9108E"/>
    <w:rsid w:val="00A952F9"/>
    <w:rsid w:val="00BB5A10"/>
    <w:rsid w:val="00C810BA"/>
    <w:rsid w:val="00D97DF5"/>
    <w:rsid w:val="00DA012E"/>
    <w:rsid w:val="00DA4275"/>
    <w:rsid w:val="00F640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A012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A012E"/>
    <w:rPr>
      <w:rFonts w:ascii="Tahoma" w:hAnsi="Tahoma" w:cs="Tahoma"/>
      <w:sz w:val="16"/>
      <w:szCs w:val="16"/>
    </w:rPr>
  </w:style>
  <w:style w:type="paragraph" w:styleId="En-tte">
    <w:name w:val="header"/>
    <w:basedOn w:val="Normal"/>
    <w:link w:val="En-tteCar"/>
    <w:uiPriority w:val="99"/>
    <w:unhideWhenUsed/>
    <w:rsid w:val="00993A88"/>
    <w:pPr>
      <w:tabs>
        <w:tab w:val="center" w:pos="4536"/>
        <w:tab w:val="right" w:pos="9072"/>
      </w:tabs>
      <w:spacing w:after="0" w:line="240" w:lineRule="auto"/>
    </w:pPr>
  </w:style>
  <w:style w:type="character" w:customStyle="1" w:styleId="En-tteCar">
    <w:name w:val="En-tête Car"/>
    <w:basedOn w:val="Policepardfaut"/>
    <w:link w:val="En-tte"/>
    <w:uiPriority w:val="99"/>
    <w:rsid w:val="00993A88"/>
  </w:style>
  <w:style w:type="paragraph" w:styleId="Pieddepage">
    <w:name w:val="footer"/>
    <w:basedOn w:val="Normal"/>
    <w:link w:val="PieddepageCar"/>
    <w:uiPriority w:val="99"/>
    <w:unhideWhenUsed/>
    <w:rsid w:val="00993A8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93A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A012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A012E"/>
    <w:rPr>
      <w:rFonts w:ascii="Tahoma" w:hAnsi="Tahoma" w:cs="Tahoma"/>
      <w:sz w:val="16"/>
      <w:szCs w:val="16"/>
    </w:rPr>
  </w:style>
  <w:style w:type="paragraph" w:styleId="En-tte">
    <w:name w:val="header"/>
    <w:basedOn w:val="Normal"/>
    <w:link w:val="En-tteCar"/>
    <w:uiPriority w:val="99"/>
    <w:unhideWhenUsed/>
    <w:rsid w:val="00993A88"/>
    <w:pPr>
      <w:tabs>
        <w:tab w:val="center" w:pos="4536"/>
        <w:tab w:val="right" w:pos="9072"/>
      </w:tabs>
      <w:spacing w:after="0" w:line="240" w:lineRule="auto"/>
    </w:pPr>
  </w:style>
  <w:style w:type="character" w:customStyle="1" w:styleId="En-tteCar">
    <w:name w:val="En-tête Car"/>
    <w:basedOn w:val="Policepardfaut"/>
    <w:link w:val="En-tte"/>
    <w:uiPriority w:val="99"/>
    <w:rsid w:val="00993A88"/>
  </w:style>
  <w:style w:type="paragraph" w:styleId="Pieddepage">
    <w:name w:val="footer"/>
    <w:basedOn w:val="Normal"/>
    <w:link w:val="PieddepageCar"/>
    <w:uiPriority w:val="99"/>
    <w:unhideWhenUsed/>
    <w:rsid w:val="00993A8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93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498132">
      <w:bodyDiv w:val="1"/>
      <w:marLeft w:val="0"/>
      <w:marRight w:val="0"/>
      <w:marTop w:val="0"/>
      <w:marBottom w:val="0"/>
      <w:divBdr>
        <w:top w:val="none" w:sz="0" w:space="0" w:color="auto"/>
        <w:left w:val="none" w:sz="0" w:space="0" w:color="auto"/>
        <w:bottom w:val="none" w:sz="0" w:space="0" w:color="auto"/>
        <w:right w:val="none" w:sz="0" w:space="0" w:color="auto"/>
      </w:divBdr>
      <w:divsChild>
        <w:div w:id="975909438">
          <w:marLeft w:val="0"/>
          <w:marRight w:val="0"/>
          <w:marTop w:val="0"/>
          <w:marBottom w:val="0"/>
          <w:divBdr>
            <w:top w:val="none" w:sz="0" w:space="0" w:color="auto"/>
            <w:left w:val="none" w:sz="0" w:space="0" w:color="auto"/>
            <w:bottom w:val="none" w:sz="0" w:space="0" w:color="auto"/>
            <w:right w:val="none" w:sz="0" w:space="0" w:color="auto"/>
          </w:divBdr>
          <w:divsChild>
            <w:div w:id="688028175">
              <w:marLeft w:val="0"/>
              <w:marRight w:val="0"/>
              <w:marTop w:val="0"/>
              <w:marBottom w:val="0"/>
              <w:divBdr>
                <w:top w:val="none" w:sz="0" w:space="0" w:color="auto"/>
                <w:left w:val="none" w:sz="0" w:space="0" w:color="auto"/>
                <w:bottom w:val="none" w:sz="0" w:space="0" w:color="auto"/>
                <w:right w:val="none" w:sz="0" w:space="0" w:color="auto"/>
              </w:divBdr>
            </w:div>
          </w:divsChild>
        </w:div>
        <w:div w:id="1660496248">
          <w:marLeft w:val="0"/>
          <w:marRight w:val="0"/>
          <w:marTop w:val="0"/>
          <w:marBottom w:val="0"/>
          <w:divBdr>
            <w:top w:val="none" w:sz="0" w:space="0" w:color="auto"/>
            <w:left w:val="none" w:sz="0" w:space="0" w:color="auto"/>
            <w:bottom w:val="none" w:sz="0" w:space="0" w:color="auto"/>
            <w:right w:val="none" w:sz="0" w:space="0" w:color="auto"/>
          </w:divBdr>
        </w:div>
        <w:div w:id="68162566">
          <w:marLeft w:val="0"/>
          <w:marRight w:val="0"/>
          <w:marTop w:val="0"/>
          <w:marBottom w:val="0"/>
          <w:divBdr>
            <w:top w:val="none" w:sz="0" w:space="0" w:color="auto"/>
            <w:left w:val="none" w:sz="0" w:space="0" w:color="auto"/>
            <w:bottom w:val="none" w:sz="0" w:space="0" w:color="auto"/>
            <w:right w:val="none" w:sz="0" w:space="0" w:color="auto"/>
          </w:divBdr>
          <w:divsChild>
            <w:div w:id="1836602760">
              <w:marLeft w:val="0"/>
              <w:marRight w:val="0"/>
              <w:marTop w:val="0"/>
              <w:marBottom w:val="0"/>
              <w:divBdr>
                <w:top w:val="none" w:sz="0" w:space="0" w:color="auto"/>
                <w:left w:val="none" w:sz="0" w:space="0" w:color="auto"/>
                <w:bottom w:val="none" w:sz="0" w:space="0" w:color="auto"/>
                <w:right w:val="none" w:sz="0" w:space="0" w:color="auto"/>
              </w:divBdr>
            </w:div>
            <w:div w:id="1838379887">
              <w:marLeft w:val="0"/>
              <w:marRight w:val="0"/>
              <w:marTop w:val="0"/>
              <w:marBottom w:val="0"/>
              <w:divBdr>
                <w:top w:val="none" w:sz="0" w:space="0" w:color="auto"/>
                <w:left w:val="none" w:sz="0" w:space="0" w:color="auto"/>
                <w:bottom w:val="none" w:sz="0" w:space="0" w:color="auto"/>
                <w:right w:val="none" w:sz="0" w:space="0" w:color="auto"/>
              </w:divBdr>
            </w:div>
            <w:div w:id="161968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6775376">
          <w:marLeft w:val="0"/>
          <w:marRight w:val="0"/>
          <w:marTop w:val="0"/>
          <w:marBottom w:val="0"/>
          <w:divBdr>
            <w:top w:val="none" w:sz="0" w:space="0" w:color="auto"/>
            <w:left w:val="none" w:sz="0" w:space="0" w:color="auto"/>
            <w:bottom w:val="none" w:sz="0" w:space="0" w:color="auto"/>
            <w:right w:val="none" w:sz="0" w:space="0" w:color="auto"/>
          </w:divBdr>
          <w:divsChild>
            <w:div w:id="955722090">
              <w:marLeft w:val="0"/>
              <w:marRight w:val="0"/>
              <w:marTop w:val="0"/>
              <w:marBottom w:val="0"/>
              <w:divBdr>
                <w:top w:val="none" w:sz="0" w:space="0" w:color="auto"/>
                <w:left w:val="none" w:sz="0" w:space="0" w:color="auto"/>
                <w:bottom w:val="none" w:sz="0" w:space="0" w:color="auto"/>
                <w:right w:val="none" w:sz="0" w:space="0" w:color="auto"/>
              </w:divBdr>
              <w:divsChild>
                <w:div w:id="579020464">
                  <w:marLeft w:val="0"/>
                  <w:marRight w:val="0"/>
                  <w:marTop w:val="0"/>
                  <w:marBottom w:val="0"/>
                  <w:divBdr>
                    <w:top w:val="none" w:sz="0" w:space="0" w:color="auto"/>
                    <w:left w:val="none" w:sz="0" w:space="0" w:color="auto"/>
                    <w:bottom w:val="none" w:sz="0" w:space="0" w:color="auto"/>
                    <w:right w:val="none" w:sz="0" w:space="0" w:color="auto"/>
                  </w:divBdr>
                  <w:divsChild>
                    <w:div w:id="1147404427">
                      <w:marLeft w:val="0"/>
                      <w:marRight w:val="0"/>
                      <w:marTop w:val="0"/>
                      <w:marBottom w:val="0"/>
                      <w:divBdr>
                        <w:top w:val="none" w:sz="0" w:space="0" w:color="auto"/>
                        <w:left w:val="none" w:sz="0" w:space="0" w:color="auto"/>
                        <w:bottom w:val="none" w:sz="0" w:space="0" w:color="auto"/>
                        <w:right w:val="none" w:sz="0" w:space="0" w:color="auto"/>
                      </w:divBdr>
                    </w:div>
                    <w:div w:id="182951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8622">
              <w:marLeft w:val="0"/>
              <w:marRight w:val="0"/>
              <w:marTop w:val="0"/>
              <w:marBottom w:val="0"/>
              <w:divBdr>
                <w:top w:val="none" w:sz="0" w:space="0" w:color="auto"/>
                <w:left w:val="none" w:sz="0" w:space="0" w:color="auto"/>
                <w:bottom w:val="none" w:sz="0" w:space="0" w:color="auto"/>
                <w:right w:val="none" w:sz="0" w:space="0" w:color="auto"/>
              </w:divBdr>
              <w:divsChild>
                <w:div w:id="156830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5</Pages>
  <Words>1585</Words>
  <Characters>8719</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2025-04-22T20:08:00Z</dcterms:created>
  <dcterms:modified xsi:type="dcterms:W3CDTF">2025-04-26T17:14:00Z</dcterms:modified>
</cp:coreProperties>
</file>